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647" w:rsidRDefault="00BD1647" w:rsidP="00BD1647">
      <w:pPr>
        <w:pStyle w:val="Odstavecseseznamem"/>
        <w:spacing w:after="120" w:line="240" w:lineRule="auto"/>
        <w:ind w:left="425"/>
        <w:contextualSpacing w:val="0"/>
        <w:jc w:val="both"/>
        <w:rPr>
          <w:rFonts w:eastAsia="Times New Roman" w:cs="Arial"/>
          <w:b/>
          <w:sz w:val="40"/>
          <w:szCs w:val="20"/>
          <w:lang w:eastAsia="cs-CZ"/>
        </w:rPr>
      </w:pPr>
      <w:r>
        <w:rPr>
          <w:rFonts w:eastAsia="Times New Roman" w:cs="Arial"/>
          <w:b/>
          <w:sz w:val="40"/>
          <w:szCs w:val="20"/>
          <w:lang w:eastAsia="cs-CZ"/>
        </w:rPr>
        <w:t>1. Obecně ke GDPR</w:t>
      </w:r>
    </w:p>
    <w:p w:rsidR="00BD1647" w:rsidRDefault="00BD1647" w:rsidP="00BD1647">
      <w:pPr>
        <w:pStyle w:val="Odstavecseseznamem"/>
        <w:spacing w:after="120" w:line="240" w:lineRule="auto"/>
        <w:ind w:left="425"/>
        <w:contextualSpacing w:val="0"/>
        <w:jc w:val="both"/>
        <w:rPr>
          <w:rFonts w:eastAsia="Times New Roman" w:cs="Arial"/>
          <w:b/>
          <w:sz w:val="40"/>
          <w:szCs w:val="20"/>
          <w:lang w:eastAsia="cs-CZ"/>
        </w:rPr>
      </w:pPr>
    </w:p>
    <w:p w:rsidR="00BD1647" w:rsidRPr="00BD1647" w:rsidRDefault="00BD1647" w:rsidP="00BD1647">
      <w:pPr>
        <w:pStyle w:val="Odstavecseseznamem"/>
        <w:spacing w:after="120" w:line="240" w:lineRule="auto"/>
        <w:ind w:left="425"/>
        <w:contextualSpacing w:val="0"/>
        <w:jc w:val="both"/>
        <w:rPr>
          <w:rFonts w:eastAsia="Times New Roman" w:cs="Arial"/>
          <w:b/>
          <w:sz w:val="24"/>
          <w:szCs w:val="24"/>
          <w:lang w:eastAsia="cs-CZ"/>
        </w:rPr>
      </w:pPr>
      <w:r w:rsidRPr="00BD1647">
        <w:rPr>
          <w:rFonts w:eastAsia="Times New Roman" w:cs="Arial"/>
          <w:b/>
          <w:sz w:val="24"/>
          <w:szCs w:val="24"/>
          <w:lang w:eastAsia="cs-CZ"/>
        </w:rPr>
        <w:t>Nařízení Evropského parlamentu a Rady 2016/679 o ochraně fyzických osob v souvislosti se zpracováním osobních údajů a o volném pohybu těchto údajů a o zrušení směrnice 95/46/ES (obecné nařízení o ochraně osobních údajů) – GDPR (metodika)</w:t>
      </w:r>
    </w:p>
    <w:p w:rsidR="00BD1647" w:rsidRPr="008D187C" w:rsidRDefault="00BD1647" w:rsidP="00BD1647">
      <w:pPr>
        <w:spacing w:after="120"/>
        <w:jc w:val="both"/>
        <w:rPr>
          <w:b/>
        </w:rPr>
      </w:pPr>
      <w:r w:rsidRPr="008D187C">
        <w:rPr>
          <w:b/>
        </w:rPr>
        <w:t>Nutnost implementace do 25. května 2018.</w:t>
      </w:r>
    </w:p>
    <w:p w:rsidR="00BD1647" w:rsidRPr="008D187C" w:rsidRDefault="00BD1647" w:rsidP="00BD1647">
      <w:pPr>
        <w:spacing w:after="40"/>
        <w:jc w:val="both"/>
      </w:pPr>
      <w:r w:rsidRPr="008D187C">
        <w:t>Do účinnosti nařízení GDPR Česká republika pravděpodobně neschválí adaptační zákon, který by měl zcela nahradit dosud platný zákon č. 101/2000 Sb., o ochraně osobních údajů a o změně některých zákonů. Z tohoto důvodu musí Česká republika GDPR převzít a aplikovat v plném rozsahu bez možnosti, na základě tzv. derogačních klauzulí, v určitých případech úpravu v GDPR vyloučit a stanovit si vlastní pravidla (např. omezit výši správní pokuty).</w:t>
      </w:r>
    </w:p>
    <w:p w:rsidR="00BD1647" w:rsidRPr="008D187C" w:rsidRDefault="00BD1647" w:rsidP="00BD1647">
      <w:pPr>
        <w:spacing w:after="40"/>
        <w:jc w:val="both"/>
      </w:pPr>
      <w:r w:rsidRPr="008D187C">
        <w:t xml:space="preserve">Ochrana poskytovaná nařízením by se měla týkat zpracování osobních údajů fyzických osob bez ohledu na jejich státní příslušnost nebo bydliště. Toto nařízení se </w:t>
      </w:r>
      <w:r w:rsidRPr="008D187C">
        <w:rPr>
          <w:u w:val="single"/>
        </w:rPr>
        <w:t xml:space="preserve">nevztahuje </w:t>
      </w:r>
      <w:r w:rsidRPr="008D187C">
        <w:t>na zpracování údajů právnických osob, včetně názvu, právní formy a kontaktních údajů právnické osoby.</w:t>
      </w:r>
    </w:p>
    <w:p w:rsidR="00BD1647" w:rsidRPr="008D187C" w:rsidRDefault="00BD1647" w:rsidP="00BD1647">
      <w:pPr>
        <w:spacing w:after="120"/>
        <w:jc w:val="both"/>
        <w:rPr>
          <w:b/>
        </w:rPr>
      </w:pPr>
      <w:r w:rsidRPr="008D187C">
        <w:t>Nařízení se nevztahuje na zpracování osobních údajů prováděné fyzickou osobou v průběhu výlučně osobních či domácích činností, bez jakékoliv souvislosti s profesní nebo obchodní činností.</w:t>
      </w:r>
    </w:p>
    <w:p w:rsidR="00BD1647" w:rsidRPr="008D187C" w:rsidRDefault="00BD1647" w:rsidP="00BD1647">
      <w:pPr>
        <w:spacing w:after="80"/>
        <w:jc w:val="both"/>
        <w:rPr>
          <w:b/>
          <w:u w:val="single"/>
        </w:rPr>
      </w:pPr>
      <w:r w:rsidRPr="008D187C">
        <w:rPr>
          <w:b/>
          <w:u w:val="single"/>
        </w:rPr>
        <w:t>Přehled povinností obsažených v GDPR</w:t>
      </w:r>
    </w:p>
    <w:p w:rsidR="00BD1647" w:rsidRPr="008D187C" w:rsidRDefault="00BD1647" w:rsidP="00BD1647">
      <w:pPr>
        <w:spacing w:after="80"/>
        <w:jc w:val="both"/>
        <w:rPr>
          <w:u w:val="single"/>
        </w:rPr>
      </w:pPr>
      <w:r w:rsidRPr="008D187C">
        <w:t xml:space="preserve">a) </w:t>
      </w:r>
      <w:r w:rsidRPr="008D187C">
        <w:rPr>
          <w:u w:val="single"/>
        </w:rPr>
        <w:t>Povinnosti vyplývající ze základních zásad, týkající se toho, že osobní údaje musí být:</w:t>
      </w:r>
    </w:p>
    <w:p w:rsidR="00BD1647" w:rsidRPr="008D187C" w:rsidRDefault="00BD1647" w:rsidP="00BD1647">
      <w:pPr>
        <w:pStyle w:val="Odstavecseseznamem"/>
        <w:numPr>
          <w:ilvl w:val="0"/>
          <w:numId w:val="6"/>
        </w:numPr>
        <w:spacing w:after="40" w:line="240" w:lineRule="auto"/>
        <w:ind w:left="284" w:hanging="283"/>
        <w:jc w:val="both"/>
        <w:rPr>
          <w:szCs w:val="24"/>
        </w:rPr>
      </w:pPr>
      <w:r w:rsidRPr="008D187C">
        <w:rPr>
          <w:szCs w:val="24"/>
        </w:rPr>
        <w:t>ve vztahu k subjektu údajů zpracovávány korektně a zákonným a transparentním způsobem („</w:t>
      </w:r>
      <w:r w:rsidRPr="008D187C">
        <w:rPr>
          <w:i/>
          <w:szCs w:val="24"/>
        </w:rPr>
        <w:t>zákonnost, korektnost a transparentnost</w:t>
      </w:r>
      <w:r w:rsidRPr="008D187C">
        <w:rPr>
          <w:szCs w:val="24"/>
        </w:rPr>
        <w:t>“) – všechna zpracování osobních údajů je možné realizovat pouze na základě zákonných titulů, které musí být dostatečně specifické, korektní a transparentní:</w:t>
      </w:r>
    </w:p>
    <w:p w:rsidR="00BD1647" w:rsidRPr="008D187C" w:rsidRDefault="00BD1647" w:rsidP="00BD1647">
      <w:pPr>
        <w:pStyle w:val="Normlnweb"/>
        <w:numPr>
          <w:ilvl w:val="0"/>
          <w:numId w:val="1"/>
        </w:numPr>
        <w:spacing w:before="0" w:beforeAutospacing="0" w:after="40" w:afterAutospacing="0"/>
        <w:ind w:left="567" w:hanging="284"/>
        <w:jc w:val="both"/>
        <w:rPr>
          <w:rFonts w:asciiTheme="minorHAnsi" w:hAnsiTheme="minorHAnsi"/>
        </w:rPr>
      </w:pPr>
      <w:r w:rsidRPr="008D187C">
        <w:rPr>
          <w:rFonts w:asciiTheme="minorHAnsi" w:hAnsiTheme="minorHAnsi"/>
          <w:i/>
        </w:rPr>
        <w:t>subjekt údajů udělil souhlas</w:t>
      </w:r>
      <w:r w:rsidRPr="008D187C">
        <w:rPr>
          <w:rFonts w:asciiTheme="minorHAnsi" w:hAnsiTheme="minorHAnsi"/>
        </w:rPr>
        <w:t xml:space="preserve"> se zpracováním svých osobních údajů pro jeden či více konkrétních účelů; </w:t>
      </w:r>
    </w:p>
    <w:p w:rsidR="00BD1647" w:rsidRPr="008D187C" w:rsidRDefault="00BD1647" w:rsidP="00BD1647">
      <w:pPr>
        <w:pStyle w:val="Normlnweb"/>
        <w:numPr>
          <w:ilvl w:val="0"/>
          <w:numId w:val="1"/>
        </w:numPr>
        <w:spacing w:before="0" w:beforeAutospacing="0" w:after="40" w:afterAutospacing="0"/>
        <w:ind w:left="567" w:hanging="284"/>
        <w:jc w:val="both"/>
        <w:rPr>
          <w:rFonts w:asciiTheme="minorHAnsi" w:hAnsiTheme="minorHAnsi"/>
        </w:rPr>
      </w:pPr>
      <w:r w:rsidRPr="008D187C">
        <w:rPr>
          <w:rFonts w:asciiTheme="minorHAnsi" w:hAnsiTheme="minorHAnsi"/>
        </w:rPr>
        <w:t xml:space="preserve">zpracování je nezbytné </w:t>
      </w:r>
      <w:r w:rsidRPr="008D187C">
        <w:rPr>
          <w:rFonts w:asciiTheme="minorHAnsi" w:hAnsiTheme="minorHAnsi"/>
          <w:i/>
        </w:rPr>
        <w:t>pro splnění smlouvy</w:t>
      </w:r>
      <w:r w:rsidRPr="008D187C">
        <w:rPr>
          <w:rFonts w:asciiTheme="minorHAnsi" w:hAnsiTheme="minorHAnsi"/>
        </w:rPr>
        <w:t>, jejíž smluvní stranou je subjekt údajů, nebo pro provedení opatření přijatých před uzavřením smlouvy na žádost tohoto subjektu údajů;</w:t>
      </w:r>
    </w:p>
    <w:p w:rsidR="00BD1647" w:rsidRPr="008D187C" w:rsidRDefault="00BD1647" w:rsidP="00BD1647">
      <w:pPr>
        <w:pStyle w:val="Normlnweb"/>
        <w:numPr>
          <w:ilvl w:val="0"/>
          <w:numId w:val="1"/>
        </w:numPr>
        <w:spacing w:before="0" w:beforeAutospacing="0" w:after="40" w:afterAutospacing="0"/>
        <w:ind w:left="567" w:hanging="284"/>
        <w:jc w:val="both"/>
        <w:rPr>
          <w:rFonts w:asciiTheme="minorHAnsi" w:hAnsiTheme="minorHAnsi"/>
        </w:rPr>
      </w:pPr>
      <w:r w:rsidRPr="008D187C">
        <w:rPr>
          <w:rFonts w:asciiTheme="minorHAnsi" w:hAnsiTheme="minorHAnsi"/>
        </w:rPr>
        <w:t xml:space="preserve">zpracování je nezbytné pro </w:t>
      </w:r>
      <w:r w:rsidRPr="008D187C">
        <w:rPr>
          <w:rFonts w:asciiTheme="minorHAnsi" w:hAnsiTheme="minorHAnsi"/>
          <w:i/>
        </w:rPr>
        <w:t>splnění právní povinnosti</w:t>
      </w:r>
      <w:r w:rsidRPr="008D187C">
        <w:rPr>
          <w:rFonts w:asciiTheme="minorHAnsi" w:hAnsiTheme="minorHAnsi"/>
        </w:rPr>
        <w:t>, která se na správce vztahuje;</w:t>
      </w:r>
    </w:p>
    <w:p w:rsidR="00BD1647" w:rsidRPr="008D187C" w:rsidRDefault="00BD1647" w:rsidP="00BD1647">
      <w:pPr>
        <w:pStyle w:val="Normlnweb"/>
        <w:numPr>
          <w:ilvl w:val="0"/>
          <w:numId w:val="1"/>
        </w:numPr>
        <w:spacing w:before="0" w:beforeAutospacing="0" w:after="40" w:afterAutospacing="0"/>
        <w:ind w:left="567" w:hanging="284"/>
        <w:jc w:val="both"/>
        <w:rPr>
          <w:rFonts w:asciiTheme="minorHAnsi" w:hAnsiTheme="minorHAnsi"/>
        </w:rPr>
      </w:pPr>
      <w:r w:rsidRPr="008D187C">
        <w:rPr>
          <w:rFonts w:asciiTheme="minorHAnsi" w:hAnsiTheme="minorHAnsi"/>
        </w:rPr>
        <w:t xml:space="preserve">zpracování je nezbytné pro </w:t>
      </w:r>
      <w:r w:rsidRPr="008D187C">
        <w:rPr>
          <w:rFonts w:asciiTheme="minorHAnsi" w:hAnsiTheme="minorHAnsi"/>
          <w:i/>
        </w:rPr>
        <w:t>ochranu životně důležitých zájmů</w:t>
      </w:r>
      <w:r w:rsidRPr="008D187C">
        <w:rPr>
          <w:rFonts w:asciiTheme="minorHAnsi" w:hAnsiTheme="minorHAnsi"/>
        </w:rPr>
        <w:t xml:space="preserve"> subjektu údajů nebo jiné fyzické osoby;</w:t>
      </w:r>
    </w:p>
    <w:p w:rsidR="00BD1647" w:rsidRPr="008D187C" w:rsidRDefault="00BD1647" w:rsidP="00BD1647">
      <w:pPr>
        <w:pStyle w:val="Normlnweb"/>
        <w:numPr>
          <w:ilvl w:val="0"/>
          <w:numId w:val="1"/>
        </w:numPr>
        <w:spacing w:before="0" w:beforeAutospacing="0" w:after="40" w:afterAutospacing="0"/>
        <w:ind w:left="567" w:hanging="284"/>
        <w:jc w:val="both"/>
        <w:rPr>
          <w:rFonts w:asciiTheme="minorHAnsi" w:hAnsiTheme="minorHAnsi"/>
        </w:rPr>
      </w:pPr>
      <w:r w:rsidRPr="008D187C">
        <w:rPr>
          <w:rFonts w:asciiTheme="minorHAnsi" w:hAnsiTheme="minorHAnsi"/>
        </w:rPr>
        <w:t xml:space="preserve">zpracování je nezbytné pro </w:t>
      </w:r>
      <w:r w:rsidRPr="008D187C">
        <w:rPr>
          <w:rFonts w:asciiTheme="minorHAnsi" w:hAnsiTheme="minorHAnsi"/>
          <w:i/>
        </w:rPr>
        <w:t>splnění úkolu prováděného ve veřejném zájmu</w:t>
      </w:r>
      <w:r w:rsidRPr="008D187C">
        <w:rPr>
          <w:rFonts w:asciiTheme="minorHAnsi" w:hAnsiTheme="minorHAnsi"/>
        </w:rPr>
        <w:t xml:space="preserve"> nebo při výkonu veřejné moci, kterým je pověřen správce;</w:t>
      </w:r>
    </w:p>
    <w:p w:rsidR="00BD1647" w:rsidRPr="008D187C" w:rsidRDefault="00BD1647" w:rsidP="00BD1647">
      <w:pPr>
        <w:pStyle w:val="Normlnweb"/>
        <w:numPr>
          <w:ilvl w:val="0"/>
          <w:numId w:val="1"/>
        </w:numPr>
        <w:spacing w:before="0" w:beforeAutospacing="0" w:after="120" w:afterAutospacing="0"/>
        <w:ind w:left="568" w:hanging="284"/>
        <w:jc w:val="both"/>
        <w:rPr>
          <w:rFonts w:asciiTheme="minorHAnsi" w:hAnsiTheme="minorHAnsi"/>
        </w:rPr>
      </w:pPr>
      <w:r w:rsidRPr="008D187C">
        <w:rPr>
          <w:rFonts w:asciiTheme="minorHAnsi" w:hAnsiTheme="minorHAnsi"/>
        </w:rPr>
        <w:t xml:space="preserve">zpracování je nezbytné </w:t>
      </w:r>
      <w:r w:rsidRPr="008D187C">
        <w:rPr>
          <w:rFonts w:asciiTheme="minorHAnsi" w:hAnsiTheme="minorHAnsi"/>
          <w:i/>
        </w:rPr>
        <w:t>pro účely oprávněných zájmů příslušného správce</w:t>
      </w:r>
      <w:r w:rsidRPr="008D187C">
        <w:rPr>
          <w:rFonts w:asciiTheme="minorHAnsi" w:hAnsiTheme="minorHAnsi"/>
        </w:rPr>
        <w:t xml:space="preserve"> či třetí strany, kromě případů, kdy před těmito zájmy mají přednost zájmy nebo základní práva a svobody subjektu údajů vyžadující ochranu osobních údajů, zejména pokud je subjektem údajů dítě. </w:t>
      </w:r>
    </w:p>
    <w:p w:rsidR="00BD1647" w:rsidRPr="008D187C" w:rsidRDefault="00BD1647" w:rsidP="00BD1647">
      <w:pPr>
        <w:pStyle w:val="Normlnweb"/>
        <w:spacing w:before="0" w:beforeAutospacing="0" w:after="40" w:afterAutospacing="0"/>
        <w:ind w:left="284"/>
        <w:jc w:val="both"/>
        <w:rPr>
          <w:rFonts w:asciiTheme="minorHAnsi" w:hAnsiTheme="minorHAnsi"/>
          <w:b/>
        </w:rPr>
      </w:pPr>
      <w:r w:rsidRPr="008D187C">
        <w:rPr>
          <w:rFonts w:asciiTheme="minorHAnsi" w:hAnsiTheme="minorHAnsi"/>
          <w:b/>
        </w:rPr>
        <w:t>Bytová družstva v souladu s § 580 zákona č. 90/2012 Sb., o obchodních společnostech a družstvech (zákon o obchodních korporacích), ve znění pozdějších předpisů vedou seznam členů, do kterého se zapisují údaje:</w:t>
      </w:r>
    </w:p>
    <w:p w:rsidR="00BD1647" w:rsidRPr="008D187C" w:rsidRDefault="00BD1647" w:rsidP="00BD1647">
      <w:pPr>
        <w:pStyle w:val="Normlnweb"/>
        <w:numPr>
          <w:ilvl w:val="0"/>
          <w:numId w:val="13"/>
        </w:numPr>
        <w:spacing w:before="0" w:beforeAutospacing="0" w:after="40" w:afterAutospacing="0"/>
        <w:ind w:left="567" w:hanging="283"/>
        <w:jc w:val="both"/>
        <w:rPr>
          <w:rFonts w:asciiTheme="minorHAnsi" w:hAnsiTheme="minorHAnsi"/>
          <w:b/>
        </w:rPr>
      </w:pPr>
      <w:r w:rsidRPr="008D187C">
        <w:rPr>
          <w:rFonts w:asciiTheme="minorHAnsi" w:hAnsiTheme="minorHAnsi"/>
          <w:b/>
        </w:rPr>
        <w:t>jméno a bydliště nebo sídlo, případně také jiná členem určená adresa pro doručování,</w:t>
      </w:r>
    </w:p>
    <w:p w:rsidR="00BD1647" w:rsidRPr="008D187C" w:rsidRDefault="00BD1647" w:rsidP="00BD1647">
      <w:pPr>
        <w:pStyle w:val="Normlnweb"/>
        <w:numPr>
          <w:ilvl w:val="0"/>
          <w:numId w:val="13"/>
        </w:numPr>
        <w:spacing w:before="0" w:beforeAutospacing="0" w:after="40" w:afterAutospacing="0"/>
        <w:ind w:left="567" w:hanging="283"/>
        <w:jc w:val="both"/>
        <w:rPr>
          <w:rFonts w:asciiTheme="minorHAnsi" w:hAnsiTheme="minorHAnsi"/>
          <w:b/>
        </w:rPr>
      </w:pPr>
      <w:r w:rsidRPr="008D187C">
        <w:rPr>
          <w:rFonts w:asciiTheme="minorHAnsi" w:hAnsiTheme="minorHAnsi"/>
          <w:b/>
        </w:rPr>
        <w:t>den a způsob vzniku a zániku členství v družstvu a</w:t>
      </w:r>
    </w:p>
    <w:p w:rsidR="00BD1647" w:rsidRPr="008D187C" w:rsidRDefault="00BD1647" w:rsidP="00BD1647">
      <w:pPr>
        <w:pStyle w:val="Normlnweb"/>
        <w:numPr>
          <w:ilvl w:val="0"/>
          <w:numId w:val="13"/>
        </w:numPr>
        <w:spacing w:before="0" w:beforeAutospacing="0" w:after="80" w:afterAutospacing="0"/>
        <w:ind w:left="568" w:hanging="284"/>
        <w:jc w:val="both"/>
        <w:rPr>
          <w:rFonts w:asciiTheme="minorHAnsi" w:hAnsiTheme="minorHAnsi"/>
          <w:b/>
        </w:rPr>
      </w:pPr>
      <w:r w:rsidRPr="008D187C">
        <w:rPr>
          <w:rFonts w:asciiTheme="minorHAnsi" w:hAnsiTheme="minorHAnsi"/>
          <w:b/>
        </w:rPr>
        <w:t>výše členského vkladu a rozsah splnění vkladové povinnosti k členskému vkladu.</w:t>
      </w:r>
    </w:p>
    <w:p w:rsidR="00BD1647" w:rsidRPr="008D187C" w:rsidRDefault="00BD1647" w:rsidP="00BD1647">
      <w:pPr>
        <w:pStyle w:val="Normlnweb"/>
        <w:spacing w:before="0" w:beforeAutospacing="0" w:after="80" w:afterAutospacing="0"/>
        <w:ind w:left="284"/>
        <w:jc w:val="both"/>
        <w:rPr>
          <w:rFonts w:asciiTheme="minorHAnsi" w:hAnsiTheme="minorHAnsi"/>
          <w:b/>
        </w:rPr>
      </w:pPr>
      <w:r w:rsidRPr="008D187C">
        <w:rPr>
          <w:rFonts w:asciiTheme="minorHAnsi" w:hAnsiTheme="minorHAnsi"/>
          <w:b/>
        </w:rPr>
        <w:lastRenderedPageBreak/>
        <w:t>Tyto údaje jsou vedeny u všech členů družstva. Zákonným důvodem získávání těchto údajů je plnění právní povinnosti. K vedení těchto údajů není nutný souhlas se zpracováním osobních údajů.</w:t>
      </w:r>
    </w:p>
    <w:p w:rsidR="00BD1647" w:rsidRPr="008D187C" w:rsidRDefault="00BD1647" w:rsidP="00BD1647">
      <w:pPr>
        <w:pStyle w:val="Normlnweb"/>
        <w:spacing w:before="0" w:beforeAutospacing="0" w:after="80" w:afterAutospacing="0"/>
        <w:ind w:left="284"/>
        <w:jc w:val="both"/>
        <w:rPr>
          <w:rFonts w:asciiTheme="minorHAnsi" w:hAnsiTheme="minorHAnsi"/>
          <w:b/>
        </w:rPr>
      </w:pPr>
      <w:r w:rsidRPr="008D187C">
        <w:rPr>
          <w:rFonts w:asciiTheme="minorHAnsi" w:hAnsiTheme="minorHAnsi"/>
          <w:b/>
        </w:rPr>
        <w:t>Zároveň je možné vést datum narození; tento údaj je nutné opřít o jiný právní důvod: oprávněné zájmy správce.</w:t>
      </w:r>
    </w:p>
    <w:p w:rsidR="00BD1647" w:rsidRPr="008D187C" w:rsidRDefault="00BD1647" w:rsidP="00BD1647">
      <w:pPr>
        <w:pStyle w:val="Normlnweb"/>
        <w:spacing w:before="0" w:beforeAutospacing="0" w:after="80" w:afterAutospacing="0"/>
        <w:ind w:left="284"/>
        <w:jc w:val="both"/>
        <w:rPr>
          <w:rFonts w:asciiTheme="minorHAnsi" w:hAnsiTheme="minorHAnsi"/>
          <w:b/>
        </w:rPr>
      </w:pPr>
      <w:r w:rsidRPr="008D187C">
        <w:rPr>
          <w:rFonts w:asciiTheme="minorHAnsi" w:hAnsiTheme="minorHAnsi"/>
          <w:b/>
        </w:rPr>
        <w:t>U členů bytového družstva budou vedeny i další údaje pro plnění i dalších právních povinností podle zákona o obchodních korporacích, např. podle § 743.</w:t>
      </w:r>
    </w:p>
    <w:p w:rsidR="00BD1647" w:rsidRPr="008D187C" w:rsidRDefault="00BD1647" w:rsidP="00BD1647">
      <w:pPr>
        <w:pStyle w:val="Normlnweb"/>
        <w:spacing w:before="0" w:beforeAutospacing="0" w:after="120" w:afterAutospacing="0"/>
        <w:ind w:left="284"/>
        <w:jc w:val="both"/>
        <w:rPr>
          <w:rFonts w:asciiTheme="minorHAnsi" w:hAnsiTheme="minorHAnsi"/>
          <w:b/>
        </w:rPr>
      </w:pPr>
      <w:r w:rsidRPr="008D187C">
        <w:rPr>
          <w:rFonts w:asciiTheme="minorHAnsi" w:hAnsiTheme="minorHAnsi"/>
          <w:b/>
        </w:rPr>
        <w:t>Společenství vlastníků nemá zákonem určen rozsah údajů, které vede o vlastnících bytových jednotek. Vhodné je držet se rozsahu jako u bytových družstev.</w:t>
      </w:r>
    </w:p>
    <w:p w:rsidR="00BD1647" w:rsidRPr="008D187C" w:rsidRDefault="00BD1647" w:rsidP="00BD1647">
      <w:pPr>
        <w:pStyle w:val="Normlnweb"/>
        <w:numPr>
          <w:ilvl w:val="0"/>
          <w:numId w:val="6"/>
        </w:numPr>
        <w:spacing w:before="0" w:beforeAutospacing="0" w:after="80" w:afterAutospacing="0"/>
        <w:ind w:left="284" w:hanging="284"/>
        <w:jc w:val="both"/>
        <w:rPr>
          <w:rFonts w:asciiTheme="minorHAnsi" w:hAnsiTheme="minorHAnsi"/>
        </w:rPr>
      </w:pPr>
      <w:r w:rsidRPr="008D187C">
        <w:rPr>
          <w:rFonts w:asciiTheme="minorHAnsi" w:hAnsiTheme="minorHAnsi"/>
        </w:rPr>
        <w:t>shromažďovány pro určité, výslovně vyjádřené a legitimní účely a nesmějí být dále zpracovávány způsobem, který je s těmito účely neslučitelný („</w:t>
      </w:r>
      <w:r w:rsidRPr="008D187C">
        <w:rPr>
          <w:rFonts w:asciiTheme="minorHAnsi" w:hAnsiTheme="minorHAnsi"/>
          <w:i/>
        </w:rPr>
        <w:t>účelové omezení</w:t>
      </w:r>
      <w:r w:rsidRPr="008D187C">
        <w:rPr>
          <w:rFonts w:asciiTheme="minorHAnsi" w:hAnsiTheme="minorHAnsi"/>
        </w:rPr>
        <w:t>“) – je nepřípustné, aby správce shromáždil osobní údaje k určitému účelu a následně je on sám nebo zpracovatel zpracoval k účelu jinému, což by pravděpodobně znamenalo, že subjekt údajů zůstane bez informace o tomto novém účelu.</w:t>
      </w:r>
    </w:p>
    <w:p w:rsidR="00BD1647" w:rsidRPr="008D187C" w:rsidRDefault="00BD1647" w:rsidP="00BD1647">
      <w:pPr>
        <w:pStyle w:val="Normlnweb"/>
        <w:spacing w:before="0" w:beforeAutospacing="0" w:after="80" w:afterAutospacing="0"/>
        <w:ind w:left="284"/>
        <w:jc w:val="both"/>
        <w:rPr>
          <w:rFonts w:asciiTheme="minorHAnsi" w:hAnsiTheme="minorHAnsi"/>
          <w:b/>
        </w:rPr>
      </w:pPr>
      <w:r w:rsidRPr="008D187C">
        <w:rPr>
          <w:rFonts w:asciiTheme="minorHAnsi" w:hAnsiTheme="minorHAnsi"/>
          <w:b/>
        </w:rPr>
        <w:t>Není možné bez souhlasu zveřejňovat osobní údaje v souvislosti s dluhy, např. seznam dlužníků na nástěnce.</w:t>
      </w:r>
    </w:p>
    <w:p w:rsidR="00BD1647" w:rsidRPr="008D187C" w:rsidRDefault="00BD1647" w:rsidP="00BD1647">
      <w:pPr>
        <w:pStyle w:val="Normlnweb"/>
        <w:spacing w:before="0" w:beforeAutospacing="0" w:after="80" w:afterAutospacing="0"/>
        <w:ind w:left="284"/>
        <w:jc w:val="both"/>
        <w:rPr>
          <w:rFonts w:asciiTheme="minorHAnsi" w:hAnsiTheme="minorHAnsi"/>
          <w:b/>
        </w:rPr>
      </w:pPr>
      <w:r w:rsidRPr="008D187C">
        <w:rPr>
          <w:rFonts w:asciiTheme="minorHAnsi" w:hAnsiTheme="minorHAnsi"/>
          <w:b/>
        </w:rPr>
        <w:t xml:space="preserve">Dlužníci a konkrétní okolnosti případu mohou být projednány na členské schůzi družstva nebo shromáždění vlastníků, neboť členové družstva a vlastníci bytových jednotek mají právo na informace tohoto typu. </w:t>
      </w:r>
    </w:p>
    <w:p w:rsidR="00BD1647" w:rsidRPr="008D187C" w:rsidRDefault="00BD1647" w:rsidP="00BD1647">
      <w:pPr>
        <w:pStyle w:val="Normlnweb"/>
        <w:spacing w:before="0" w:beforeAutospacing="0" w:after="120" w:afterAutospacing="0"/>
        <w:ind w:left="284"/>
        <w:jc w:val="both"/>
        <w:rPr>
          <w:rFonts w:asciiTheme="minorHAnsi" w:hAnsiTheme="minorHAnsi"/>
        </w:rPr>
      </w:pPr>
      <w:r w:rsidRPr="008D187C">
        <w:rPr>
          <w:rFonts w:asciiTheme="minorHAnsi" w:hAnsiTheme="minorHAnsi"/>
          <w:b/>
        </w:rPr>
        <w:t>Údaje všech nesmí být zveřejněny neomezenému okruhu lidí</w:t>
      </w:r>
      <w:r w:rsidRPr="008D187C">
        <w:rPr>
          <w:rFonts w:asciiTheme="minorHAnsi" w:hAnsiTheme="minorHAnsi"/>
        </w:rPr>
        <w:t xml:space="preserve"> </w:t>
      </w:r>
      <w:r w:rsidRPr="008D187C">
        <w:rPr>
          <w:rFonts w:asciiTheme="minorHAnsi" w:hAnsiTheme="minorHAnsi"/>
          <w:b/>
        </w:rPr>
        <w:t>zveřejněním.</w:t>
      </w:r>
    </w:p>
    <w:p w:rsidR="00BD1647" w:rsidRPr="008D187C" w:rsidRDefault="00BD1647" w:rsidP="00BD1647">
      <w:pPr>
        <w:pStyle w:val="Normlnweb"/>
        <w:numPr>
          <w:ilvl w:val="0"/>
          <w:numId w:val="6"/>
        </w:numPr>
        <w:spacing w:before="0" w:beforeAutospacing="0" w:after="120" w:afterAutospacing="0"/>
        <w:ind w:left="284" w:hanging="284"/>
        <w:jc w:val="both"/>
        <w:rPr>
          <w:rFonts w:asciiTheme="minorHAnsi" w:hAnsiTheme="minorHAnsi"/>
          <w:b/>
        </w:rPr>
      </w:pPr>
      <w:r w:rsidRPr="008D187C">
        <w:rPr>
          <w:rFonts w:asciiTheme="minorHAnsi" w:hAnsiTheme="minorHAnsi"/>
        </w:rPr>
        <w:t>přiměřené, relevantní a omezené na nezbytný rozsah ve vztahu k účelu, pro který jsou zpracovávány („</w:t>
      </w:r>
      <w:r w:rsidRPr="008D187C">
        <w:rPr>
          <w:rFonts w:asciiTheme="minorHAnsi" w:hAnsiTheme="minorHAnsi"/>
          <w:i/>
        </w:rPr>
        <w:t>minimalizace údajů</w:t>
      </w:r>
      <w:r w:rsidRPr="008D187C">
        <w:rPr>
          <w:rFonts w:asciiTheme="minorHAnsi" w:hAnsiTheme="minorHAnsi"/>
        </w:rPr>
        <w:t xml:space="preserve">“) – splnění této povinnosti bude vyžadovat přesné vymezení minimálního rozsahu konkrétních osobních údajů, které budou v daném případě k naplnění stanoveného účelu skutečně potřebné. Je tak třeba o každém osobním údaji rozhodnout, zda je či není pro daný účel nezbytný, popř. při které kombinaci ostatních údajů je nezbytný. Zvolí – </w:t>
      </w:r>
      <w:proofErr w:type="spellStart"/>
      <w:r w:rsidRPr="008D187C">
        <w:rPr>
          <w:rFonts w:asciiTheme="minorHAnsi" w:hAnsiTheme="minorHAnsi"/>
        </w:rPr>
        <w:t>li</w:t>
      </w:r>
      <w:proofErr w:type="spellEnd"/>
      <w:r w:rsidRPr="008D187C">
        <w:rPr>
          <w:rFonts w:asciiTheme="minorHAnsi" w:hAnsiTheme="minorHAnsi"/>
        </w:rPr>
        <w:t xml:space="preserve"> si správce nějaký rozsah osobních údajů, které hodlá zpracovávat, měl by být schopen u každého jednotlivého údaje odpovědět na otázku, proč je daného údaje třeba pro dosažení stanoveného účelu. Cílem je dosažení situace, kdy účelu zpracovávání bude dosaženo s použitím co nejužší skupiny osobních údajů. Ty zbylé by měl správce bez zbytečného odkladu zlikvidovat. </w:t>
      </w:r>
    </w:p>
    <w:p w:rsidR="00BD1647" w:rsidRPr="008D187C" w:rsidRDefault="00BD1647" w:rsidP="00BD1647">
      <w:pPr>
        <w:pStyle w:val="Normlnweb"/>
        <w:numPr>
          <w:ilvl w:val="0"/>
          <w:numId w:val="6"/>
        </w:numPr>
        <w:spacing w:before="0" w:beforeAutospacing="0" w:after="120" w:afterAutospacing="0"/>
        <w:ind w:left="284" w:hanging="284"/>
        <w:jc w:val="both"/>
        <w:rPr>
          <w:rFonts w:asciiTheme="minorHAnsi" w:hAnsiTheme="minorHAnsi"/>
        </w:rPr>
      </w:pPr>
      <w:r w:rsidRPr="008D187C">
        <w:rPr>
          <w:rFonts w:asciiTheme="minorHAnsi" w:hAnsiTheme="minorHAnsi"/>
        </w:rPr>
        <w:t xml:space="preserve">přesné a v případě potřeby aktualizované; musí být přijata veškerá rozumná opatření, aby osobní údaje, které jsou nepřesné s přihlédnutím k účelům, pro které se zpracovávají, byly bezodkladně vymazány nebo opraveny.  </w:t>
      </w:r>
    </w:p>
    <w:p w:rsidR="00BD1647" w:rsidRPr="008D187C" w:rsidRDefault="00BD1647" w:rsidP="00BD1647">
      <w:pPr>
        <w:pStyle w:val="Normlnweb"/>
        <w:numPr>
          <w:ilvl w:val="0"/>
          <w:numId w:val="6"/>
        </w:numPr>
        <w:spacing w:before="0" w:beforeAutospacing="0" w:after="80" w:afterAutospacing="0"/>
        <w:ind w:left="284" w:hanging="284"/>
        <w:jc w:val="both"/>
        <w:rPr>
          <w:rFonts w:asciiTheme="minorHAnsi" w:hAnsiTheme="minorHAnsi"/>
        </w:rPr>
      </w:pPr>
      <w:r w:rsidRPr="008D187C">
        <w:rPr>
          <w:rFonts w:asciiTheme="minorHAnsi" w:hAnsiTheme="minorHAnsi"/>
        </w:rPr>
        <w:t>uloženy ve formě umožňující identifikaci subjektů údajů po dobu ne delší, než je nezbytné pro účely, pro které jsou zpracovávány; osobní údaje lze uložit po delší dobu, pokud se zpracovávají výhradně pro účely archivace ve veřejném zájmu, pro účely vědeckého či historického výzkumu nebo pro statistické účely, a to za předpokladu provedení příslušných technických a organizačních opatření požadovaných tímto nařízením s cílem zaručit práva a svobody subjektu údajů („</w:t>
      </w:r>
      <w:r w:rsidRPr="008D187C">
        <w:rPr>
          <w:rFonts w:asciiTheme="minorHAnsi" w:hAnsiTheme="minorHAnsi"/>
          <w:i/>
        </w:rPr>
        <w:t>omezení uložení</w:t>
      </w:r>
      <w:r w:rsidRPr="008D187C">
        <w:rPr>
          <w:rFonts w:asciiTheme="minorHAnsi" w:hAnsiTheme="minorHAnsi"/>
        </w:rPr>
        <w:t>“) – je nezbytné stanovit si dobu uchování a tuto dobu pak dodržovat.</w:t>
      </w:r>
    </w:p>
    <w:p w:rsidR="00BD1647" w:rsidRPr="008D187C" w:rsidRDefault="00BD1647" w:rsidP="00BD1647">
      <w:pPr>
        <w:pStyle w:val="Normlnweb"/>
        <w:spacing w:before="0" w:beforeAutospacing="0" w:after="120" w:afterAutospacing="0"/>
        <w:ind w:left="284"/>
        <w:jc w:val="both"/>
        <w:rPr>
          <w:rFonts w:asciiTheme="minorHAnsi" w:hAnsiTheme="minorHAnsi"/>
        </w:rPr>
      </w:pPr>
      <w:r w:rsidRPr="008D187C">
        <w:rPr>
          <w:rFonts w:asciiTheme="minorHAnsi" w:hAnsiTheme="minorHAnsi"/>
          <w:b/>
        </w:rPr>
        <w:t>V závislosti na účelu zpracování je možné například stanovit dobu 3 roky (obecná promlčecí doba). Doba vždy musí odpovídat účelu.</w:t>
      </w:r>
      <w:r w:rsidRPr="008D187C">
        <w:rPr>
          <w:rFonts w:asciiTheme="minorHAnsi" w:hAnsiTheme="minorHAnsi"/>
        </w:rPr>
        <w:t xml:space="preserve"> </w:t>
      </w:r>
    </w:p>
    <w:p w:rsidR="00BD1647" w:rsidRPr="008D187C" w:rsidRDefault="00BD1647" w:rsidP="00BD1647">
      <w:pPr>
        <w:pStyle w:val="Normlnweb"/>
        <w:numPr>
          <w:ilvl w:val="0"/>
          <w:numId w:val="6"/>
        </w:numPr>
        <w:spacing w:before="0" w:beforeAutospacing="0" w:after="80" w:afterAutospacing="0"/>
        <w:ind w:left="284" w:hanging="284"/>
        <w:jc w:val="both"/>
        <w:rPr>
          <w:rFonts w:asciiTheme="minorHAnsi" w:hAnsiTheme="minorHAnsi"/>
        </w:rPr>
      </w:pPr>
      <w:r w:rsidRPr="008D187C">
        <w:rPr>
          <w:rFonts w:asciiTheme="minorHAnsi" w:hAnsiTheme="minorHAnsi"/>
        </w:rPr>
        <w:lastRenderedPageBreak/>
        <w:t>zpracovávány způsobem, který zajistí náležité zabezpečení osobních údajů, včetně jejich ochrany pomocí vhodných technických nebo organizačních opatření před neoprávněným či protiprávním zpracováním a před náhodnou ztrátou, zničením nebo poškozením („</w:t>
      </w:r>
      <w:r w:rsidRPr="008D187C">
        <w:rPr>
          <w:rFonts w:asciiTheme="minorHAnsi" w:hAnsiTheme="minorHAnsi"/>
          <w:i/>
        </w:rPr>
        <w:t>integrita a důvěrnost</w:t>
      </w:r>
      <w:r w:rsidRPr="008D187C">
        <w:rPr>
          <w:rFonts w:asciiTheme="minorHAnsi" w:hAnsiTheme="minorHAnsi"/>
        </w:rPr>
        <w:t>“) - osobní údaje musí být zabezpečeny před hrozbami uvnitř organizace i vně organizace, a to ve všech podobách zpracování (automatizované i papírové).</w:t>
      </w:r>
    </w:p>
    <w:p w:rsidR="00BD1647" w:rsidRPr="008D187C" w:rsidRDefault="00BD1647" w:rsidP="00BD1647">
      <w:pPr>
        <w:pStyle w:val="Normlnweb"/>
        <w:spacing w:before="0" w:beforeAutospacing="0" w:after="80" w:afterAutospacing="0"/>
        <w:ind w:left="284"/>
        <w:jc w:val="both"/>
        <w:rPr>
          <w:rFonts w:asciiTheme="minorHAnsi" w:hAnsiTheme="minorHAnsi"/>
          <w:b/>
        </w:rPr>
      </w:pPr>
      <w:r w:rsidRPr="008D187C">
        <w:rPr>
          <w:rFonts w:asciiTheme="minorHAnsi" w:hAnsiTheme="minorHAnsi"/>
          <w:b/>
        </w:rPr>
        <w:t>Je nutné zpracovávané osobní údaje zabezpečit a zabezpečit i nosiče, na nichž se údaje nacházejí. Tzn. je třeba nejen zaheslovat notebook, ale zajistit i notebook samotný. Je proto třeba osobní údaje související s činností bytového družstva či společenstvím vlastníků držet odděleně od soukromých dokumentů, v rámci notebooku, který je používán i pro soukromé účely, je nutné vytvořit samostatný profil pro činnost související s bytovým družstvem/společenstvím vlastníků.</w:t>
      </w:r>
    </w:p>
    <w:p w:rsidR="00BD1647" w:rsidRPr="008D187C" w:rsidRDefault="00BD1647" w:rsidP="00BD1647">
      <w:pPr>
        <w:pStyle w:val="Normlnweb"/>
        <w:spacing w:before="0" w:beforeAutospacing="0" w:after="120" w:afterAutospacing="0"/>
        <w:ind w:left="284"/>
        <w:jc w:val="both"/>
        <w:rPr>
          <w:rFonts w:asciiTheme="minorHAnsi" w:hAnsiTheme="minorHAnsi"/>
          <w:b/>
        </w:rPr>
      </w:pPr>
      <w:r w:rsidRPr="008D187C">
        <w:rPr>
          <w:rFonts w:asciiTheme="minorHAnsi" w:hAnsiTheme="minorHAnsi"/>
          <w:b/>
        </w:rPr>
        <w:t>Měla by existovat možnost nosiče údajů uzamknout, ať už do zvláštní místnosti nebo do skříně, zásuvky atd.</w:t>
      </w:r>
    </w:p>
    <w:p w:rsidR="00BD1647" w:rsidRPr="008D187C" w:rsidRDefault="00BD1647" w:rsidP="00BD1647">
      <w:pPr>
        <w:pStyle w:val="Normlnweb"/>
        <w:numPr>
          <w:ilvl w:val="0"/>
          <w:numId w:val="6"/>
        </w:numPr>
        <w:spacing w:before="0" w:beforeAutospacing="0" w:after="80" w:afterAutospacing="0"/>
        <w:ind w:left="284" w:hanging="284"/>
        <w:jc w:val="both"/>
        <w:rPr>
          <w:rFonts w:asciiTheme="minorHAnsi" w:hAnsiTheme="minorHAnsi"/>
        </w:rPr>
      </w:pPr>
      <w:r w:rsidRPr="008D187C">
        <w:rPr>
          <w:rFonts w:asciiTheme="minorHAnsi" w:hAnsiTheme="minorHAnsi"/>
        </w:rPr>
        <w:t>Správce odpovídá za dodržení odstavce 1 a musí být schopen toto dodržení souladu doložit („</w:t>
      </w:r>
      <w:r w:rsidRPr="008D187C">
        <w:rPr>
          <w:rFonts w:asciiTheme="minorHAnsi" w:hAnsiTheme="minorHAnsi"/>
          <w:i/>
        </w:rPr>
        <w:t>odpovědnost</w:t>
      </w:r>
      <w:r w:rsidRPr="008D187C">
        <w:rPr>
          <w:rFonts w:asciiTheme="minorHAnsi" w:hAnsiTheme="minorHAnsi"/>
        </w:rPr>
        <w:t>“). Tuto zásadu dále rozvíjí článek 24 Nařízení, když říká, že s přihlédnutím k povaze, rozsahu, kontextu a účelům zpracování i k různě pravděpodobným a různě závažným rizikům pro práva a svobody fyzických osob zavede správce vhodná technická a organizační opatření, aby zajistil a byl schopen doložit, že zpracování je prováděno v souladu s tímto nařízením. Tato opatření musí být podle potřeby revidována a aktualizována.</w:t>
      </w:r>
    </w:p>
    <w:p w:rsidR="00BD1647" w:rsidRPr="008D187C" w:rsidRDefault="00BD1647" w:rsidP="00BD1647">
      <w:pPr>
        <w:pStyle w:val="Normlnweb"/>
        <w:spacing w:before="0" w:beforeAutospacing="0" w:after="120" w:afterAutospacing="0"/>
        <w:ind w:left="284"/>
        <w:jc w:val="both"/>
        <w:rPr>
          <w:rFonts w:asciiTheme="minorHAnsi" w:hAnsiTheme="minorHAnsi"/>
          <w:u w:val="single"/>
        </w:rPr>
      </w:pPr>
      <w:r w:rsidRPr="008D187C">
        <w:rPr>
          <w:rFonts w:asciiTheme="minorHAnsi" w:hAnsiTheme="minorHAnsi"/>
          <w:b/>
        </w:rPr>
        <w:t>Veškeré kroky vedoucí k ochraně osobních údajů a k implementaci GDPR musí být zadokumentovány (záznamy o činnostech), včetně pokynů případným zpracovatelům.</w:t>
      </w:r>
    </w:p>
    <w:p w:rsidR="00BD1647" w:rsidRPr="008D187C" w:rsidRDefault="00BD1647" w:rsidP="00BD1647">
      <w:pPr>
        <w:pStyle w:val="Normlnweb"/>
        <w:spacing w:before="0" w:beforeAutospacing="0" w:after="120" w:afterAutospacing="0"/>
        <w:rPr>
          <w:rFonts w:asciiTheme="minorHAnsi" w:hAnsiTheme="minorHAnsi"/>
        </w:rPr>
      </w:pPr>
      <w:r w:rsidRPr="008D187C">
        <w:rPr>
          <w:rFonts w:asciiTheme="minorHAnsi" w:hAnsiTheme="minorHAnsi"/>
          <w:u w:val="single"/>
        </w:rPr>
        <w:t xml:space="preserve"> Nové povinnosti</w:t>
      </w:r>
    </w:p>
    <w:p w:rsidR="00BD1647" w:rsidRPr="008D187C" w:rsidRDefault="00BD1647" w:rsidP="00BD1647">
      <w:pPr>
        <w:pStyle w:val="Normlnweb"/>
        <w:numPr>
          <w:ilvl w:val="0"/>
          <w:numId w:val="7"/>
        </w:numPr>
        <w:spacing w:before="0" w:beforeAutospacing="0" w:after="120" w:afterAutospacing="0"/>
        <w:ind w:left="284" w:hanging="284"/>
        <w:jc w:val="both"/>
        <w:rPr>
          <w:rFonts w:asciiTheme="minorHAnsi" w:hAnsiTheme="minorHAnsi"/>
        </w:rPr>
      </w:pPr>
      <w:r w:rsidRPr="008D187C">
        <w:rPr>
          <w:rFonts w:asciiTheme="minorHAnsi" w:hAnsiTheme="minorHAnsi"/>
        </w:rPr>
        <w:t xml:space="preserve">Jiné parametry </w:t>
      </w:r>
      <w:proofErr w:type="gramStart"/>
      <w:r w:rsidRPr="008D187C">
        <w:rPr>
          <w:rFonts w:asciiTheme="minorHAnsi" w:hAnsiTheme="minorHAnsi"/>
        </w:rPr>
        <w:t>souhlasu - svobodný</w:t>
      </w:r>
      <w:proofErr w:type="gramEnd"/>
      <w:r w:rsidRPr="008D187C">
        <w:rPr>
          <w:rFonts w:asciiTheme="minorHAnsi" w:hAnsiTheme="minorHAnsi"/>
        </w:rPr>
        <w:t>, konkrétní, informovaný a jednoznačný projev vůle</w:t>
      </w:r>
      <w:r w:rsidRPr="008D187C">
        <w:rPr>
          <w:rFonts w:asciiTheme="minorHAnsi" w:hAnsiTheme="minorHAnsi"/>
          <w:b/>
        </w:rPr>
        <w:t>, odvolatelný</w:t>
      </w:r>
      <w:r w:rsidRPr="008D187C">
        <w:rPr>
          <w:rFonts w:asciiTheme="minorHAnsi" w:hAnsiTheme="minorHAnsi"/>
        </w:rPr>
        <w:t>. Srozumitelný a snadno přístupný za použití jasných a jednoduchých jazykových prostředků. Odlišený a oddělený od jiných právních úkonů.</w:t>
      </w:r>
    </w:p>
    <w:p w:rsidR="00BD1647" w:rsidRPr="008D187C" w:rsidRDefault="00BD1647" w:rsidP="00BD1647">
      <w:pPr>
        <w:pStyle w:val="Normlnweb"/>
        <w:numPr>
          <w:ilvl w:val="0"/>
          <w:numId w:val="7"/>
        </w:numPr>
        <w:spacing w:before="0" w:beforeAutospacing="0" w:after="120" w:afterAutospacing="0"/>
        <w:ind w:left="284" w:hanging="284"/>
        <w:jc w:val="both"/>
        <w:rPr>
          <w:rFonts w:asciiTheme="minorHAnsi" w:hAnsiTheme="minorHAnsi"/>
        </w:rPr>
      </w:pPr>
      <w:r w:rsidRPr="008D187C">
        <w:rPr>
          <w:rFonts w:asciiTheme="minorHAnsi" w:hAnsiTheme="minorHAnsi"/>
        </w:rPr>
        <w:t>Rozšíření informační povinnosti.</w:t>
      </w:r>
    </w:p>
    <w:p w:rsidR="00BD1647" w:rsidRPr="008D187C" w:rsidRDefault="00BD1647" w:rsidP="00BD1647">
      <w:pPr>
        <w:pStyle w:val="Normlnweb"/>
        <w:numPr>
          <w:ilvl w:val="0"/>
          <w:numId w:val="7"/>
        </w:numPr>
        <w:spacing w:before="0" w:beforeAutospacing="0" w:after="120" w:afterAutospacing="0"/>
        <w:ind w:left="284" w:hanging="284"/>
        <w:jc w:val="both"/>
        <w:rPr>
          <w:rFonts w:asciiTheme="minorHAnsi" w:hAnsiTheme="minorHAnsi"/>
        </w:rPr>
      </w:pPr>
      <w:r w:rsidRPr="008D187C">
        <w:rPr>
          <w:rFonts w:asciiTheme="minorHAnsi" w:hAnsiTheme="minorHAnsi"/>
        </w:rPr>
        <w:t>Rozšíření práva na přístup k osobním údajům.</w:t>
      </w:r>
    </w:p>
    <w:p w:rsidR="00BD1647" w:rsidRPr="008D187C" w:rsidRDefault="00BD1647" w:rsidP="00BD1647">
      <w:pPr>
        <w:pStyle w:val="Odstavecseseznamem"/>
        <w:numPr>
          <w:ilvl w:val="0"/>
          <w:numId w:val="7"/>
        </w:numPr>
        <w:spacing w:after="40" w:line="240" w:lineRule="auto"/>
        <w:ind w:left="284" w:hanging="284"/>
        <w:contextualSpacing w:val="0"/>
        <w:jc w:val="both"/>
        <w:rPr>
          <w:szCs w:val="24"/>
        </w:rPr>
      </w:pPr>
      <w:r w:rsidRPr="008D187C">
        <w:rPr>
          <w:szCs w:val="24"/>
        </w:rPr>
        <w:t xml:space="preserve">Právo na </w:t>
      </w:r>
      <w:proofErr w:type="gramStart"/>
      <w:r w:rsidRPr="008D187C">
        <w:rPr>
          <w:szCs w:val="24"/>
        </w:rPr>
        <w:t>výmaz - povinnost</w:t>
      </w:r>
      <w:proofErr w:type="gramEnd"/>
      <w:r w:rsidRPr="008D187C">
        <w:rPr>
          <w:szCs w:val="24"/>
        </w:rPr>
        <w:t xml:space="preserve"> osobní údaje bez zbytečného odkladu vymazat, pokud je dán jeden z těchto důvodů: </w:t>
      </w:r>
    </w:p>
    <w:p w:rsidR="00BD1647" w:rsidRPr="008D187C" w:rsidRDefault="00BD1647" w:rsidP="00BD1647">
      <w:pPr>
        <w:pStyle w:val="Odstavecseseznamem"/>
        <w:numPr>
          <w:ilvl w:val="0"/>
          <w:numId w:val="8"/>
        </w:numPr>
        <w:spacing w:after="40" w:line="240" w:lineRule="auto"/>
        <w:ind w:left="567" w:hanging="283"/>
        <w:contextualSpacing w:val="0"/>
        <w:jc w:val="both"/>
        <w:rPr>
          <w:szCs w:val="24"/>
        </w:rPr>
      </w:pPr>
      <w:r w:rsidRPr="008D187C">
        <w:rPr>
          <w:szCs w:val="24"/>
        </w:rPr>
        <w:t xml:space="preserve">osobní údaje již nejsou potřebné pro účely, pro které byly shromážděny nebo jinak zpracovány; </w:t>
      </w:r>
    </w:p>
    <w:p w:rsidR="00BD1647" w:rsidRPr="008D187C" w:rsidRDefault="00BD1647" w:rsidP="00BD1647">
      <w:pPr>
        <w:pStyle w:val="Odstavecseseznamem"/>
        <w:numPr>
          <w:ilvl w:val="0"/>
          <w:numId w:val="8"/>
        </w:numPr>
        <w:spacing w:after="40" w:line="240" w:lineRule="auto"/>
        <w:ind w:left="567" w:hanging="283"/>
        <w:contextualSpacing w:val="0"/>
        <w:jc w:val="both"/>
        <w:rPr>
          <w:szCs w:val="24"/>
        </w:rPr>
      </w:pPr>
      <w:r w:rsidRPr="008D187C">
        <w:rPr>
          <w:szCs w:val="24"/>
        </w:rPr>
        <w:t xml:space="preserve">subjekt údajů odvolá souhlas, na jehož základě byly údaje zpracovány, a neexistuje žádný další právní důvod pro zpracování; </w:t>
      </w:r>
    </w:p>
    <w:p w:rsidR="00BD1647" w:rsidRPr="008D187C" w:rsidRDefault="00BD1647" w:rsidP="00BD1647">
      <w:pPr>
        <w:pStyle w:val="Odstavecseseznamem"/>
        <w:numPr>
          <w:ilvl w:val="0"/>
          <w:numId w:val="8"/>
        </w:numPr>
        <w:spacing w:after="40" w:line="240" w:lineRule="auto"/>
        <w:ind w:left="568" w:hanging="284"/>
        <w:contextualSpacing w:val="0"/>
        <w:jc w:val="both"/>
        <w:rPr>
          <w:szCs w:val="24"/>
        </w:rPr>
      </w:pPr>
      <w:r w:rsidRPr="008D187C">
        <w:rPr>
          <w:szCs w:val="24"/>
        </w:rPr>
        <w:t xml:space="preserve">subjekt údajů vznese námitky proti zpracování a neexistují žádné převažující oprávněné důvody pro zpracování nebo subjekt údajů vznese námitky proti zpracování; </w:t>
      </w:r>
    </w:p>
    <w:p w:rsidR="00BD1647" w:rsidRPr="008D187C" w:rsidRDefault="00BD1647" w:rsidP="00BD1647">
      <w:pPr>
        <w:pStyle w:val="Odstavecseseznamem"/>
        <w:numPr>
          <w:ilvl w:val="0"/>
          <w:numId w:val="8"/>
        </w:numPr>
        <w:spacing w:after="40" w:line="240" w:lineRule="auto"/>
        <w:ind w:left="567" w:hanging="283"/>
        <w:contextualSpacing w:val="0"/>
        <w:jc w:val="both"/>
        <w:rPr>
          <w:szCs w:val="24"/>
        </w:rPr>
      </w:pPr>
      <w:r w:rsidRPr="008D187C">
        <w:rPr>
          <w:szCs w:val="24"/>
        </w:rPr>
        <w:t xml:space="preserve">osobní údaje byly zpracovány protiprávně; </w:t>
      </w:r>
    </w:p>
    <w:p w:rsidR="00BD1647" w:rsidRPr="008D187C" w:rsidRDefault="00BD1647" w:rsidP="00BD1647">
      <w:pPr>
        <w:pStyle w:val="Odstavecseseznamem"/>
        <w:numPr>
          <w:ilvl w:val="0"/>
          <w:numId w:val="8"/>
        </w:numPr>
        <w:spacing w:after="40" w:line="240" w:lineRule="auto"/>
        <w:ind w:left="567" w:hanging="283"/>
        <w:contextualSpacing w:val="0"/>
        <w:jc w:val="both"/>
        <w:rPr>
          <w:szCs w:val="24"/>
        </w:rPr>
      </w:pPr>
      <w:r w:rsidRPr="008D187C">
        <w:rPr>
          <w:szCs w:val="24"/>
        </w:rPr>
        <w:t xml:space="preserve">osobní údaje musí být vymazány ke splnění právní povinnosti stanovené v právu Unie nebo členského státu, které se na správce vztahuje; </w:t>
      </w:r>
    </w:p>
    <w:p w:rsidR="00BD1647" w:rsidRPr="008D187C" w:rsidRDefault="00BD1647" w:rsidP="00BD1647">
      <w:pPr>
        <w:pStyle w:val="Odstavecseseznamem"/>
        <w:numPr>
          <w:ilvl w:val="0"/>
          <w:numId w:val="8"/>
        </w:numPr>
        <w:spacing w:after="120" w:line="240" w:lineRule="auto"/>
        <w:ind w:left="568" w:hanging="284"/>
        <w:contextualSpacing w:val="0"/>
        <w:jc w:val="both"/>
        <w:rPr>
          <w:szCs w:val="24"/>
        </w:rPr>
      </w:pPr>
      <w:r w:rsidRPr="008D187C">
        <w:rPr>
          <w:szCs w:val="24"/>
        </w:rPr>
        <w:t xml:space="preserve">osobní údaje byly shromážděny v souvislosti s nabídkou služeb informační společnosti. </w:t>
      </w:r>
    </w:p>
    <w:p w:rsidR="00BD1647" w:rsidRPr="008D187C" w:rsidRDefault="00BD1647" w:rsidP="00BD1647">
      <w:pPr>
        <w:pStyle w:val="Odstavecseseznamem"/>
        <w:numPr>
          <w:ilvl w:val="0"/>
          <w:numId w:val="7"/>
        </w:numPr>
        <w:spacing w:after="40" w:line="240" w:lineRule="auto"/>
        <w:ind w:left="283" w:hanging="357"/>
        <w:contextualSpacing w:val="0"/>
        <w:jc w:val="both"/>
        <w:rPr>
          <w:szCs w:val="24"/>
        </w:rPr>
      </w:pPr>
      <w:r w:rsidRPr="008D187C">
        <w:rPr>
          <w:szCs w:val="24"/>
        </w:rPr>
        <w:t xml:space="preserve">Právo na </w:t>
      </w:r>
      <w:proofErr w:type="gramStart"/>
      <w:r w:rsidRPr="008D187C">
        <w:rPr>
          <w:szCs w:val="24"/>
        </w:rPr>
        <w:t>přenositelnost - jedná</w:t>
      </w:r>
      <w:proofErr w:type="gramEnd"/>
      <w:r w:rsidRPr="008D187C">
        <w:rPr>
          <w:szCs w:val="24"/>
        </w:rPr>
        <w:t xml:space="preserve"> se o případy, kdy se jedná o osobní údaje, které se týkají subjektu údajů. </w:t>
      </w:r>
    </w:p>
    <w:p w:rsidR="00BD1647" w:rsidRPr="008D187C" w:rsidRDefault="00BD1647" w:rsidP="00BD1647">
      <w:pPr>
        <w:spacing w:after="120"/>
        <w:ind w:left="284"/>
        <w:jc w:val="both"/>
      </w:pPr>
      <w:r w:rsidRPr="008D187C">
        <w:t>Osobní údaje by měly být předány ve strukturovaném, běžně používaném a strojově čitelném formátu.</w:t>
      </w:r>
    </w:p>
    <w:p w:rsidR="00BD1647" w:rsidRPr="008D187C" w:rsidRDefault="00BD1647" w:rsidP="00BD1647">
      <w:pPr>
        <w:pStyle w:val="Odstavecseseznamem"/>
        <w:numPr>
          <w:ilvl w:val="0"/>
          <w:numId w:val="7"/>
        </w:numPr>
        <w:spacing w:after="120" w:line="240" w:lineRule="auto"/>
        <w:ind w:left="284" w:hanging="284"/>
        <w:contextualSpacing w:val="0"/>
        <w:jc w:val="both"/>
        <w:rPr>
          <w:szCs w:val="24"/>
        </w:rPr>
      </w:pPr>
      <w:r w:rsidRPr="008D187C">
        <w:rPr>
          <w:szCs w:val="24"/>
        </w:rPr>
        <w:lastRenderedPageBreak/>
        <w:t>Vytvoření záznamů o činnostech.</w:t>
      </w:r>
    </w:p>
    <w:p w:rsidR="00BD1647" w:rsidRPr="008D187C" w:rsidRDefault="00BD1647" w:rsidP="00BD1647">
      <w:pPr>
        <w:pStyle w:val="Odstavecseseznamem"/>
        <w:numPr>
          <w:ilvl w:val="0"/>
          <w:numId w:val="7"/>
        </w:numPr>
        <w:spacing w:after="120" w:line="240" w:lineRule="auto"/>
        <w:ind w:left="284" w:hanging="284"/>
        <w:contextualSpacing w:val="0"/>
        <w:jc w:val="both"/>
        <w:rPr>
          <w:szCs w:val="24"/>
        </w:rPr>
      </w:pPr>
      <w:r w:rsidRPr="008D187C">
        <w:rPr>
          <w:szCs w:val="24"/>
        </w:rPr>
        <w:t>Povinnost zabezpečení a hlášení bezpečnostních incidentů.</w:t>
      </w:r>
    </w:p>
    <w:p w:rsidR="00BD1647" w:rsidRPr="008D187C" w:rsidRDefault="00BD1647" w:rsidP="00BD1647">
      <w:pPr>
        <w:spacing w:after="40"/>
        <w:jc w:val="both"/>
        <w:rPr>
          <w:b/>
        </w:rPr>
      </w:pPr>
      <w:r w:rsidRPr="008D187C">
        <w:rPr>
          <w:b/>
        </w:rPr>
        <w:t>Analýza</w:t>
      </w:r>
    </w:p>
    <w:p w:rsidR="00BD1647" w:rsidRPr="008D187C" w:rsidRDefault="00BD1647" w:rsidP="00BD1647">
      <w:pPr>
        <w:spacing w:after="80"/>
        <w:jc w:val="both"/>
      </w:pPr>
      <w:r w:rsidRPr="008D187C">
        <w:t xml:space="preserve">Prvním krokem k tomu, aby bylo možné Nařízení implementovat, je udělat si přehled o tom, jak zpracování probíhá v současné době, zda u správce (zpracovatele) existují nějaké dokumenty, které by se věnovaly oblasti ochrany osobních údajů, např. směrnice, bezpečností dokumentace, a jaký je jich obsah. Jinak řečeno, je nutné provést analýzu. </w:t>
      </w:r>
    </w:p>
    <w:p w:rsidR="00BD1647" w:rsidRPr="008D187C" w:rsidRDefault="00BD1647" w:rsidP="00BD1647">
      <w:pPr>
        <w:spacing w:after="40"/>
        <w:jc w:val="both"/>
      </w:pPr>
      <w:r w:rsidRPr="008D187C">
        <w:t>Tato analýza by měla mít několik fází:</w:t>
      </w:r>
    </w:p>
    <w:p w:rsidR="00BD1647" w:rsidRPr="008D187C" w:rsidRDefault="00BD1647" w:rsidP="00BD1647">
      <w:pPr>
        <w:pStyle w:val="Odstavecseseznamem"/>
        <w:numPr>
          <w:ilvl w:val="0"/>
          <w:numId w:val="9"/>
        </w:numPr>
        <w:spacing w:after="40" w:line="240" w:lineRule="auto"/>
        <w:ind w:left="284" w:hanging="284"/>
        <w:contextualSpacing w:val="0"/>
        <w:jc w:val="both"/>
        <w:rPr>
          <w:szCs w:val="24"/>
        </w:rPr>
      </w:pPr>
      <w:r w:rsidRPr="008D187C">
        <w:rPr>
          <w:b/>
          <w:szCs w:val="24"/>
        </w:rPr>
        <w:t>V první fázi</w:t>
      </w:r>
      <w:r w:rsidRPr="008D187C">
        <w:rPr>
          <w:szCs w:val="24"/>
        </w:rPr>
        <w:t xml:space="preserve"> bude nutné zjistit a vyhodnotit základní parametry zpracování osobních údajů a jejich soulad s Nařízením. Půjde zejména o zjištění a popis:</w:t>
      </w:r>
    </w:p>
    <w:p w:rsidR="00BD1647" w:rsidRPr="008D187C" w:rsidRDefault="00BD1647" w:rsidP="00BD1647">
      <w:pPr>
        <w:pStyle w:val="Odstavecseseznamem"/>
        <w:numPr>
          <w:ilvl w:val="1"/>
          <w:numId w:val="9"/>
        </w:numPr>
        <w:spacing w:after="40" w:line="240" w:lineRule="auto"/>
        <w:ind w:left="567" w:hanging="283"/>
        <w:contextualSpacing w:val="0"/>
        <w:jc w:val="both"/>
        <w:rPr>
          <w:b/>
          <w:szCs w:val="24"/>
        </w:rPr>
      </w:pPr>
      <w:r w:rsidRPr="008D187C">
        <w:rPr>
          <w:szCs w:val="24"/>
          <w:u w:val="single"/>
        </w:rPr>
        <w:t>kategorií osobních údajů a rozsah zpracovávaných údajů</w:t>
      </w:r>
      <w:r w:rsidRPr="008D187C">
        <w:rPr>
          <w:szCs w:val="24"/>
        </w:rPr>
        <w:t xml:space="preserve"> – podle nařízení je osobním údajem jakákoli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 </w:t>
      </w:r>
      <w:r w:rsidRPr="008D187C">
        <w:rPr>
          <w:b/>
          <w:szCs w:val="24"/>
        </w:rPr>
        <w:t>Osobním údajem je tedy jakákoli informace, kterou lze vztáhnout ke konkrétní fyzické osobě, včetně jména, příjmení a bydliště, které díky rozsáhlému používání často nebývají považovány za údaje, na něž se vztahuje ochrana Nařízení.</w:t>
      </w:r>
    </w:p>
    <w:p w:rsidR="00BD1647" w:rsidRPr="008D187C" w:rsidRDefault="00BD1647" w:rsidP="00BD1647">
      <w:pPr>
        <w:pStyle w:val="Odstavecseseznamem"/>
        <w:numPr>
          <w:ilvl w:val="1"/>
          <w:numId w:val="9"/>
        </w:numPr>
        <w:spacing w:after="40" w:line="240" w:lineRule="auto"/>
        <w:ind w:left="567" w:hanging="283"/>
        <w:contextualSpacing w:val="0"/>
        <w:jc w:val="both"/>
        <w:rPr>
          <w:szCs w:val="24"/>
        </w:rPr>
      </w:pPr>
      <w:r w:rsidRPr="008D187C">
        <w:rPr>
          <w:szCs w:val="24"/>
          <w:u w:val="single"/>
        </w:rPr>
        <w:t>účely zpracování</w:t>
      </w:r>
      <w:r w:rsidRPr="008D187C">
        <w:rPr>
          <w:szCs w:val="24"/>
        </w:rPr>
        <w:t xml:space="preserve"> – účelem zpracování je účel, pro jaký jsou osobní údaje zpracovávány. Obvykle jím bývá každá konkrétní agenda.  </w:t>
      </w:r>
    </w:p>
    <w:p w:rsidR="00BD1647" w:rsidRPr="008D187C" w:rsidRDefault="00BD1647" w:rsidP="00BD1647">
      <w:pPr>
        <w:pStyle w:val="Odstavecseseznamem"/>
        <w:numPr>
          <w:ilvl w:val="1"/>
          <w:numId w:val="9"/>
        </w:numPr>
        <w:spacing w:after="40" w:line="240" w:lineRule="auto"/>
        <w:ind w:left="567" w:hanging="283"/>
        <w:contextualSpacing w:val="0"/>
        <w:jc w:val="both"/>
        <w:rPr>
          <w:szCs w:val="24"/>
        </w:rPr>
      </w:pPr>
      <w:r w:rsidRPr="008D187C">
        <w:rPr>
          <w:szCs w:val="24"/>
        </w:rPr>
        <w:t>z</w:t>
      </w:r>
      <w:r w:rsidRPr="008D187C">
        <w:rPr>
          <w:szCs w:val="24"/>
          <w:u w:val="single"/>
        </w:rPr>
        <w:t>ákonný důvod</w:t>
      </w:r>
      <w:r w:rsidRPr="008D187C">
        <w:rPr>
          <w:szCs w:val="24"/>
        </w:rPr>
        <w:t xml:space="preserve"> – pro zpracování osobních údajů je vždy nutné najít některý ze zákonných důvodů, jak je uvádí čl. 6 Nařízení. Není možné provádět zpracování, které se neopírá o některý z těchto důvodů.</w:t>
      </w:r>
    </w:p>
    <w:p w:rsidR="00BD1647" w:rsidRPr="008D187C" w:rsidRDefault="00BD1647" w:rsidP="00BD1647">
      <w:pPr>
        <w:pStyle w:val="Odstavecseseznamem"/>
        <w:numPr>
          <w:ilvl w:val="1"/>
          <w:numId w:val="9"/>
        </w:numPr>
        <w:spacing w:after="40" w:line="240" w:lineRule="auto"/>
        <w:ind w:left="567" w:hanging="283"/>
        <w:contextualSpacing w:val="0"/>
        <w:jc w:val="both"/>
        <w:rPr>
          <w:szCs w:val="24"/>
        </w:rPr>
      </w:pPr>
      <w:r w:rsidRPr="008D187C">
        <w:rPr>
          <w:szCs w:val="24"/>
          <w:u w:val="single"/>
        </w:rPr>
        <w:t>kategorie subjektů údajů</w:t>
      </w:r>
      <w:r w:rsidRPr="008D187C">
        <w:rPr>
          <w:szCs w:val="24"/>
        </w:rPr>
        <w:t xml:space="preserve"> – je nutné si uvědomit, čí údaje jsou zpracovávány, jakých kategorií osob. Např. členové družstva, nájemci smluvní strany, zaměstnanci.</w:t>
      </w:r>
    </w:p>
    <w:p w:rsidR="00BD1647" w:rsidRPr="008D187C" w:rsidRDefault="00BD1647" w:rsidP="00BD1647">
      <w:pPr>
        <w:pStyle w:val="Odstavecseseznamem"/>
        <w:numPr>
          <w:ilvl w:val="1"/>
          <w:numId w:val="9"/>
        </w:numPr>
        <w:spacing w:after="40" w:line="240" w:lineRule="auto"/>
        <w:ind w:left="567" w:hanging="283"/>
        <w:contextualSpacing w:val="0"/>
        <w:jc w:val="both"/>
        <w:rPr>
          <w:szCs w:val="24"/>
        </w:rPr>
      </w:pPr>
      <w:r w:rsidRPr="008D187C">
        <w:rPr>
          <w:szCs w:val="24"/>
          <w:u w:val="single"/>
        </w:rPr>
        <w:t>kategorie příjemců</w:t>
      </w:r>
      <w:r w:rsidRPr="008D187C">
        <w:rPr>
          <w:szCs w:val="24"/>
        </w:rPr>
        <w:t xml:space="preserve"> – příjemcem je myšlena fyzická nebo právnická osoba, orgán veřejné moci, agentura nebo jiný subjekt, kterým jsou osobní údaje poskytnuty, ať už se jedná o třetí stranu, či nikoli. Orgány veřejné moci, které mohou získávat osobní údaje v rámci zvláštního šetření, se za příjemce nepovažují. </w:t>
      </w:r>
    </w:p>
    <w:p w:rsidR="00BD1647" w:rsidRPr="008D187C" w:rsidRDefault="00BD1647" w:rsidP="00BD1647">
      <w:pPr>
        <w:pStyle w:val="Odstavecseseznamem"/>
        <w:numPr>
          <w:ilvl w:val="1"/>
          <w:numId w:val="9"/>
        </w:numPr>
        <w:spacing w:after="40" w:line="240" w:lineRule="auto"/>
        <w:ind w:left="567" w:hanging="283"/>
        <w:contextualSpacing w:val="0"/>
        <w:jc w:val="both"/>
        <w:rPr>
          <w:szCs w:val="24"/>
        </w:rPr>
      </w:pPr>
      <w:r w:rsidRPr="008D187C">
        <w:rPr>
          <w:szCs w:val="24"/>
          <w:u w:val="single"/>
        </w:rPr>
        <w:t>předávání osobních údajů do třetí země nebo mezinárodní organizaci.</w:t>
      </w:r>
    </w:p>
    <w:p w:rsidR="00BD1647" w:rsidRPr="008D187C" w:rsidRDefault="00BD1647" w:rsidP="00BD1647">
      <w:pPr>
        <w:pStyle w:val="Odstavecseseznamem"/>
        <w:numPr>
          <w:ilvl w:val="1"/>
          <w:numId w:val="9"/>
        </w:numPr>
        <w:spacing w:after="40" w:line="240" w:lineRule="auto"/>
        <w:ind w:left="567" w:hanging="283"/>
        <w:contextualSpacing w:val="0"/>
        <w:jc w:val="both"/>
        <w:rPr>
          <w:szCs w:val="24"/>
        </w:rPr>
      </w:pPr>
      <w:r w:rsidRPr="008D187C">
        <w:rPr>
          <w:szCs w:val="24"/>
          <w:u w:val="single"/>
        </w:rPr>
        <w:t>doba uchování</w:t>
      </w:r>
      <w:r w:rsidRPr="008D187C">
        <w:rPr>
          <w:szCs w:val="24"/>
        </w:rPr>
        <w:t xml:space="preserve"> – doba určená skartačním řádem, zákony nebo potřebou správce či zpracovatele.</w:t>
      </w:r>
    </w:p>
    <w:p w:rsidR="00BD1647" w:rsidRPr="008D187C" w:rsidRDefault="00BD1647" w:rsidP="00BD1647">
      <w:pPr>
        <w:pStyle w:val="Odstavecseseznamem"/>
        <w:numPr>
          <w:ilvl w:val="1"/>
          <w:numId w:val="9"/>
        </w:numPr>
        <w:spacing w:after="40" w:line="240" w:lineRule="auto"/>
        <w:ind w:left="567" w:hanging="283"/>
        <w:contextualSpacing w:val="0"/>
        <w:jc w:val="both"/>
        <w:rPr>
          <w:szCs w:val="24"/>
        </w:rPr>
      </w:pPr>
      <w:r w:rsidRPr="008D187C">
        <w:rPr>
          <w:szCs w:val="24"/>
          <w:u w:val="single"/>
        </w:rPr>
        <w:t>zdroj</w:t>
      </w:r>
      <w:r w:rsidRPr="008D187C">
        <w:rPr>
          <w:szCs w:val="24"/>
        </w:rPr>
        <w:t xml:space="preserve"> – při analýze je také třeba uvědomit si, odkud zpracovávané osobní údaje pochází, kde byly získány, např. přímo od subjektu údajů, od jiného správce, z veřejného registru.</w:t>
      </w:r>
    </w:p>
    <w:p w:rsidR="00BD1647" w:rsidRPr="008D187C" w:rsidRDefault="00BD1647" w:rsidP="00BD1647">
      <w:pPr>
        <w:pStyle w:val="Odstavecseseznamem"/>
        <w:numPr>
          <w:ilvl w:val="1"/>
          <w:numId w:val="9"/>
        </w:numPr>
        <w:spacing w:after="120" w:line="240" w:lineRule="auto"/>
        <w:ind w:left="568" w:hanging="284"/>
        <w:contextualSpacing w:val="0"/>
        <w:jc w:val="both"/>
        <w:rPr>
          <w:szCs w:val="24"/>
        </w:rPr>
      </w:pPr>
      <w:r w:rsidRPr="008D187C">
        <w:rPr>
          <w:szCs w:val="24"/>
          <w:u w:val="single"/>
        </w:rPr>
        <w:t>prostředky zpracování osobních údajů</w:t>
      </w:r>
      <w:r w:rsidRPr="008D187C">
        <w:rPr>
          <w:szCs w:val="24"/>
        </w:rPr>
        <w:t xml:space="preserve"> – tedy způsob, jakým jsou osobní údaje zpracovávány. Povinnost určit prostředky zpracování je jednou ze základních povinností správce. Rozlišení prostředků zpracování je důležité pro následné vyhodnocování způsobu zabezpečení osobních údajů.</w:t>
      </w:r>
    </w:p>
    <w:p w:rsidR="00BD1647" w:rsidRPr="008D187C" w:rsidRDefault="00BD1647" w:rsidP="00BD1647">
      <w:pPr>
        <w:pStyle w:val="Odstavecseseznamem"/>
        <w:numPr>
          <w:ilvl w:val="0"/>
          <w:numId w:val="9"/>
        </w:numPr>
        <w:spacing w:after="40" w:line="240" w:lineRule="auto"/>
        <w:ind w:left="284" w:hanging="284"/>
        <w:contextualSpacing w:val="0"/>
        <w:jc w:val="both"/>
        <w:rPr>
          <w:szCs w:val="24"/>
        </w:rPr>
      </w:pPr>
      <w:r w:rsidRPr="008D187C">
        <w:rPr>
          <w:b/>
          <w:szCs w:val="24"/>
        </w:rPr>
        <w:t xml:space="preserve">Také druhá fáze </w:t>
      </w:r>
      <w:r w:rsidRPr="008D187C">
        <w:rPr>
          <w:szCs w:val="24"/>
        </w:rPr>
        <w:t>zahrnuje několik kroků. Je nezbytné rozklíčovat postavení subjektu v každém účelu zpracování, tedy zda se nachází v postavení správce či zpracovatele. Zároveň je třeba určit, v jaké vztahu se nachází vůči subjektům, kterým jsou osobní údaje předávány:</w:t>
      </w:r>
    </w:p>
    <w:p w:rsidR="00BD1647" w:rsidRPr="008D187C" w:rsidRDefault="00BD1647" w:rsidP="00BD1647">
      <w:pPr>
        <w:pStyle w:val="Odstavecseseznamem"/>
        <w:numPr>
          <w:ilvl w:val="0"/>
          <w:numId w:val="10"/>
        </w:numPr>
        <w:spacing w:after="40" w:line="240" w:lineRule="auto"/>
        <w:ind w:left="567" w:hanging="283"/>
        <w:contextualSpacing w:val="0"/>
        <w:jc w:val="both"/>
        <w:rPr>
          <w:szCs w:val="24"/>
        </w:rPr>
      </w:pPr>
      <w:r w:rsidRPr="008D187C">
        <w:rPr>
          <w:szCs w:val="24"/>
        </w:rPr>
        <w:t>správce x správce;</w:t>
      </w:r>
    </w:p>
    <w:p w:rsidR="00BD1647" w:rsidRPr="008D187C" w:rsidRDefault="00BD1647" w:rsidP="00BD1647">
      <w:pPr>
        <w:pStyle w:val="Odstavecseseznamem"/>
        <w:numPr>
          <w:ilvl w:val="0"/>
          <w:numId w:val="10"/>
        </w:numPr>
        <w:spacing w:after="80" w:line="240" w:lineRule="auto"/>
        <w:ind w:left="568" w:hanging="284"/>
        <w:contextualSpacing w:val="0"/>
        <w:jc w:val="both"/>
        <w:rPr>
          <w:szCs w:val="24"/>
        </w:rPr>
      </w:pPr>
      <w:r w:rsidRPr="008D187C">
        <w:rPr>
          <w:szCs w:val="24"/>
        </w:rPr>
        <w:t>správce x zpracovatel.</w:t>
      </w:r>
    </w:p>
    <w:p w:rsidR="00BD1647" w:rsidRPr="008D187C" w:rsidRDefault="00BD1647" w:rsidP="00BD1647">
      <w:pPr>
        <w:spacing w:after="80"/>
        <w:ind w:left="284"/>
        <w:jc w:val="both"/>
      </w:pPr>
      <w:r w:rsidRPr="008D187C">
        <w:t xml:space="preserve">Nařízení klade na správce přísné požadavky v případě, že se rozhodne zpracováním pověřit zpracovatele. Článek 28 Nařízení říká, že pokud má být zpracování provedeno pro správce, využije správce pouze ty zpracovatele, kteří poskytují dostatečné záruky zavedení vhodných technických a organizačních opatření. </w:t>
      </w:r>
    </w:p>
    <w:p w:rsidR="00BD1647" w:rsidRPr="008D187C" w:rsidRDefault="00BD1647" w:rsidP="00BD1647">
      <w:pPr>
        <w:spacing w:after="120"/>
        <w:ind w:left="284"/>
        <w:jc w:val="both"/>
      </w:pPr>
      <w:r w:rsidRPr="008D187C">
        <w:rPr>
          <w:b/>
        </w:rPr>
        <w:lastRenderedPageBreak/>
        <w:t xml:space="preserve">Dále je nutné uzavřít písemnou smlouvu mezi správcem a zpracovatelem </w:t>
      </w:r>
      <w:r w:rsidRPr="008D187C">
        <w:rPr>
          <w:i/>
        </w:rPr>
        <w:t>(náležitosti smlouvy jsou popsány níže).</w:t>
      </w:r>
    </w:p>
    <w:p w:rsidR="00BD1647" w:rsidRPr="008D187C" w:rsidRDefault="00BD1647" w:rsidP="00BD1647">
      <w:pPr>
        <w:pStyle w:val="Odstavecseseznamem"/>
        <w:numPr>
          <w:ilvl w:val="0"/>
          <w:numId w:val="9"/>
        </w:numPr>
        <w:spacing w:after="120" w:line="240" w:lineRule="auto"/>
        <w:ind w:left="284" w:hanging="284"/>
        <w:contextualSpacing w:val="0"/>
        <w:jc w:val="both"/>
        <w:rPr>
          <w:szCs w:val="24"/>
        </w:rPr>
      </w:pPr>
      <w:r w:rsidRPr="008D187C">
        <w:rPr>
          <w:b/>
          <w:szCs w:val="24"/>
        </w:rPr>
        <w:t>Třetí fází</w:t>
      </w:r>
      <w:r w:rsidRPr="008D187C">
        <w:rPr>
          <w:szCs w:val="24"/>
        </w:rPr>
        <w:t xml:space="preserve"> je posouzení obsahu souhlasu. Parametry tohoto úkonu byly změněny poměrně rozsáhle, resp. byly značně rozšířeny, proto musí být posouzen soulad dosavadního znění s novými požadavky.</w:t>
      </w:r>
    </w:p>
    <w:p w:rsidR="00BD1647" w:rsidRPr="008D187C" w:rsidRDefault="00BD1647" w:rsidP="00BD1647">
      <w:pPr>
        <w:pStyle w:val="Odstavecseseznamem"/>
        <w:numPr>
          <w:ilvl w:val="0"/>
          <w:numId w:val="9"/>
        </w:numPr>
        <w:spacing w:after="120" w:line="240" w:lineRule="auto"/>
        <w:ind w:left="284" w:hanging="284"/>
        <w:contextualSpacing w:val="0"/>
        <w:jc w:val="both"/>
        <w:rPr>
          <w:szCs w:val="24"/>
        </w:rPr>
      </w:pPr>
      <w:r w:rsidRPr="008D187C">
        <w:rPr>
          <w:b/>
          <w:szCs w:val="24"/>
        </w:rPr>
        <w:t xml:space="preserve">Čtvrtá </w:t>
      </w:r>
      <w:proofErr w:type="gramStart"/>
      <w:r w:rsidRPr="008D187C">
        <w:rPr>
          <w:b/>
          <w:szCs w:val="24"/>
        </w:rPr>
        <w:t xml:space="preserve">fáze </w:t>
      </w:r>
      <w:r w:rsidRPr="008D187C">
        <w:rPr>
          <w:szCs w:val="24"/>
        </w:rPr>
        <w:t>- totéž</w:t>
      </w:r>
      <w:proofErr w:type="gramEnd"/>
      <w:r w:rsidRPr="008D187C">
        <w:rPr>
          <w:szCs w:val="24"/>
        </w:rPr>
        <w:t xml:space="preserve"> platí i pro plnění informační povinnosti. Povinnost poskytnout subjektu údajů informace na počátku zpracování zůstala zachována, byla však rozšířena. Proto musí každý správce posoudit, zda dosavadní způsob plnění informační povinnosti je dostatečný. </w:t>
      </w:r>
    </w:p>
    <w:p w:rsidR="00BD1647" w:rsidRPr="008D187C" w:rsidRDefault="00BD1647" w:rsidP="00BD1647">
      <w:pPr>
        <w:pStyle w:val="Odstavecseseznamem"/>
        <w:numPr>
          <w:ilvl w:val="0"/>
          <w:numId w:val="9"/>
        </w:numPr>
        <w:spacing w:after="40" w:line="240" w:lineRule="auto"/>
        <w:ind w:left="284" w:hanging="284"/>
        <w:contextualSpacing w:val="0"/>
        <w:jc w:val="both"/>
        <w:rPr>
          <w:szCs w:val="24"/>
        </w:rPr>
      </w:pPr>
      <w:r w:rsidRPr="008D187C">
        <w:rPr>
          <w:b/>
          <w:szCs w:val="24"/>
        </w:rPr>
        <w:t>V páté fázi</w:t>
      </w:r>
      <w:r w:rsidRPr="008D187C">
        <w:rPr>
          <w:szCs w:val="24"/>
        </w:rPr>
        <w:t xml:space="preserve"> je třeba zaměřit se na posouzení rozsahu, efektivity a úrovně přijatých technických a organizačních opatření při zpracování osobních údajů s cílem vyhodnotit úroveň zajištění jejich důvěrnosti, integrity a dostupnosti. V rámci tohoto kroku by měla být ověřena:</w:t>
      </w:r>
    </w:p>
    <w:p w:rsidR="00BD1647" w:rsidRPr="008D187C" w:rsidRDefault="00BD1647" w:rsidP="00BD1647">
      <w:pPr>
        <w:pStyle w:val="Odstavecseseznamem"/>
        <w:numPr>
          <w:ilvl w:val="1"/>
          <w:numId w:val="9"/>
        </w:numPr>
        <w:spacing w:after="40" w:line="240" w:lineRule="auto"/>
        <w:ind w:left="567" w:hanging="283"/>
        <w:jc w:val="both"/>
        <w:rPr>
          <w:szCs w:val="24"/>
        </w:rPr>
      </w:pPr>
      <w:r w:rsidRPr="008D187C">
        <w:rPr>
          <w:szCs w:val="24"/>
        </w:rPr>
        <w:t>prokazatelnost a úroveň provedení analýzy rizik;</w:t>
      </w:r>
    </w:p>
    <w:p w:rsidR="00BD1647" w:rsidRPr="008D187C" w:rsidRDefault="00BD1647" w:rsidP="00BD1647">
      <w:pPr>
        <w:pStyle w:val="Odstavecseseznamem"/>
        <w:numPr>
          <w:ilvl w:val="1"/>
          <w:numId w:val="9"/>
        </w:numPr>
        <w:spacing w:after="40" w:line="240" w:lineRule="auto"/>
        <w:ind w:left="567" w:hanging="283"/>
        <w:jc w:val="both"/>
        <w:rPr>
          <w:szCs w:val="24"/>
        </w:rPr>
      </w:pPr>
      <w:r w:rsidRPr="008D187C">
        <w:rPr>
          <w:szCs w:val="24"/>
        </w:rPr>
        <w:t>opatření v oblasti počítačové, fyzické a objektové bezpečnosti;</w:t>
      </w:r>
    </w:p>
    <w:p w:rsidR="00BD1647" w:rsidRPr="008D187C" w:rsidRDefault="00BD1647" w:rsidP="00BD1647">
      <w:pPr>
        <w:pStyle w:val="Odstavecseseznamem"/>
        <w:numPr>
          <w:ilvl w:val="1"/>
          <w:numId w:val="9"/>
        </w:numPr>
        <w:spacing w:after="40" w:line="240" w:lineRule="auto"/>
        <w:ind w:left="567" w:hanging="283"/>
        <w:jc w:val="both"/>
        <w:rPr>
          <w:szCs w:val="24"/>
        </w:rPr>
      </w:pPr>
      <w:r w:rsidRPr="008D187C">
        <w:rPr>
          <w:szCs w:val="24"/>
        </w:rPr>
        <w:t>úroveň a rozsah realizace politiky uchování a mazání/likvidace dat, zpracovávaných automatizovaně i v listinné podobě;</w:t>
      </w:r>
    </w:p>
    <w:p w:rsidR="00BD1647" w:rsidRPr="008D187C" w:rsidRDefault="00BD1647" w:rsidP="00BD1647">
      <w:pPr>
        <w:pStyle w:val="Odstavecseseznamem"/>
        <w:numPr>
          <w:ilvl w:val="1"/>
          <w:numId w:val="9"/>
        </w:numPr>
        <w:spacing w:after="40" w:line="240" w:lineRule="auto"/>
        <w:ind w:left="567" w:hanging="283"/>
        <w:jc w:val="both"/>
        <w:rPr>
          <w:szCs w:val="24"/>
        </w:rPr>
      </w:pPr>
      <w:r w:rsidRPr="008D187C">
        <w:rPr>
          <w:szCs w:val="24"/>
        </w:rPr>
        <w:t>úrovně odpovědnosti v rámci personálního obsazení;</w:t>
      </w:r>
    </w:p>
    <w:p w:rsidR="00BD1647" w:rsidRPr="008D187C" w:rsidRDefault="00BD1647" w:rsidP="00BD1647">
      <w:pPr>
        <w:pStyle w:val="Odstavecseseznamem"/>
        <w:numPr>
          <w:ilvl w:val="1"/>
          <w:numId w:val="9"/>
        </w:numPr>
        <w:spacing w:after="80" w:line="240" w:lineRule="auto"/>
        <w:ind w:left="568" w:hanging="284"/>
        <w:contextualSpacing w:val="0"/>
        <w:jc w:val="both"/>
        <w:rPr>
          <w:szCs w:val="24"/>
        </w:rPr>
      </w:pPr>
      <w:r w:rsidRPr="008D187C">
        <w:rPr>
          <w:szCs w:val="24"/>
        </w:rPr>
        <w:t>úrovně a rozsahu kontrolní činnosti směrem k zaměstnancům správce, zpracovatelům a dodavatelům.</w:t>
      </w:r>
    </w:p>
    <w:p w:rsidR="00BD1647" w:rsidRPr="008D187C" w:rsidRDefault="00BD1647" w:rsidP="00BD1647">
      <w:pPr>
        <w:spacing w:after="120"/>
        <w:jc w:val="both"/>
      </w:pPr>
      <w:r w:rsidRPr="008D187C">
        <w:t>Po provedení těchto kroků bude zřejmé, kde jsou největší nedostatky a rozpory s Nařízením, které osobní údaje by měly být zlikvidovány, jaké dokumenty je třeba aktualizovat nebo zcela nově vytvořit, kde jsou využívány nadbytečné souhlasy apod.</w:t>
      </w:r>
    </w:p>
    <w:p w:rsidR="00BD1647" w:rsidRPr="008D187C" w:rsidRDefault="00BD1647" w:rsidP="00BD1647">
      <w:pPr>
        <w:jc w:val="both"/>
        <w:rPr>
          <w:b/>
        </w:rPr>
      </w:pPr>
      <w:r w:rsidRPr="008D187C">
        <w:rPr>
          <w:b/>
        </w:rPr>
        <w:t>Implementace</w:t>
      </w:r>
    </w:p>
    <w:p w:rsidR="00BD1647" w:rsidRPr="008D187C" w:rsidRDefault="00BD1647" w:rsidP="00BD1647">
      <w:pPr>
        <w:spacing w:after="80"/>
        <w:jc w:val="both"/>
      </w:pPr>
      <w:r w:rsidRPr="008D187C">
        <w:t>Po provedení analýzy, ze které vyplynou rozpory mezi stávajícím způsobem zpracování osobních údajů a požadavky vyplývajícími z GDPR, bude nutné tyto rozpory odstranit. Při implementaci obvykle dochází k těmto krokům:</w:t>
      </w:r>
    </w:p>
    <w:p w:rsidR="00BD1647" w:rsidRPr="008D187C" w:rsidRDefault="00BD1647" w:rsidP="00BD1647">
      <w:pPr>
        <w:pStyle w:val="Odstavecseseznamem"/>
        <w:numPr>
          <w:ilvl w:val="1"/>
          <w:numId w:val="8"/>
        </w:numPr>
        <w:spacing w:line="240" w:lineRule="auto"/>
        <w:ind w:left="284" w:hanging="284"/>
        <w:jc w:val="both"/>
        <w:rPr>
          <w:szCs w:val="24"/>
        </w:rPr>
      </w:pPr>
      <w:r w:rsidRPr="008D187C">
        <w:rPr>
          <w:b/>
          <w:szCs w:val="24"/>
          <w:u w:val="single"/>
        </w:rPr>
        <w:t>Vytvoření záznamů o činnostech</w:t>
      </w:r>
      <w:r w:rsidRPr="008D187C">
        <w:rPr>
          <w:szCs w:val="24"/>
        </w:rPr>
        <w:t xml:space="preserve"> – nepanuje shoda o možnostech uplatnění výjimky z této povinnosti, proto lze doporučit záznamy o činnostech raději vypracovat.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2"/>
        <w:gridCol w:w="4531"/>
      </w:tblGrid>
      <w:tr w:rsidR="00BD1647" w:rsidRPr="008D187C" w:rsidTr="00642A60">
        <w:tc>
          <w:tcPr>
            <w:tcW w:w="4252" w:type="dxa"/>
            <w:shd w:val="clear" w:color="auto" w:fill="FFC000"/>
            <w:vAlign w:val="center"/>
          </w:tcPr>
          <w:p w:rsidR="00BD1647" w:rsidRPr="008D187C" w:rsidRDefault="00BD1647" w:rsidP="00642A60">
            <w:pPr>
              <w:jc w:val="center"/>
              <w:rPr>
                <w:b/>
              </w:rPr>
            </w:pPr>
            <w:r w:rsidRPr="008D187C">
              <w:rPr>
                <w:b/>
              </w:rPr>
              <w:t>Obsah, pokud jde o správce</w:t>
            </w:r>
          </w:p>
        </w:tc>
        <w:tc>
          <w:tcPr>
            <w:tcW w:w="4531" w:type="dxa"/>
            <w:shd w:val="clear" w:color="auto" w:fill="C2D69B"/>
            <w:vAlign w:val="center"/>
          </w:tcPr>
          <w:p w:rsidR="00BD1647" w:rsidRPr="008D187C" w:rsidRDefault="00BD1647" w:rsidP="00642A60">
            <w:pPr>
              <w:jc w:val="center"/>
              <w:rPr>
                <w:b/>
                <w:bCs/>
              </w:rPr>
            </w:pPr>
            <w:r w:rsidRPr="008D187C">
              <w:rPr>
                <w:b/>
                <w:bCs/>
                <w:shd w:val="clear" w:color="auto" w:fill="C2D69B"/>
              </w:rPr>
              <w:t>Obsah, pokud jde o zpracovatele</w:t>
            </w:r>
            <w:r w:rsidRPr="008D187C">
              <w:rPr>
                <w:b/>
                <w:bCs/>
              </w:rPr>
              <w:t>:</w:t>
            </w:r>
          </w:p>
        </w:tc>
      </w:tr>
      <w:tr w:rsidR="00BD1647" w:rsidRPr="008D187C" w:rsidTr="00642A60">
        <w:tc>
          <w:tcPr>
            <w:tcW w:w="4252" w:type="dxa"/>
            <w:vAlign w:val="center"/>
          </w:tcPr>
          <w:p w:rsidR="00BD1647" w:rsidRPr="008D187C" w:rsidRDefault="00BD1647" w:rsidP="00642A60">
            <w:pPr>
              <w:jc w:val="both"/>
            </w:pPr>
            <w:r w:rsidRPr="008D187C">
              <w:rPr>
                <w:bCs/>
              </w:rPr>
              <w:t xml:space="preserve"> obchodní firmu u BD nebo název u SVJ, sídlo a identifikační číslo osoby, pokud bylo přiděleno, a jméno, popřípadě jména, a příjmení osob, které jsou jejich statutárními zástupci</w:t>
            </w:r>
          </w:p>
        </w:tc>
        <w:tc>
          <w:tcPr>
            <w:tcW w:w="4531" w:type="dxa"/>
            <w:vAlign w:val="center"/>
          </w:tcPr>
          <w:p w:rsidR="00BD1647" w:rsidRPr="008D187C" w:rsidRDefault="00BD1647" w:rsidP="00642A60">
            <w:pPr>
              <w:jc w:val="both"/>
            </w:pPr>
            <w:r w:rsidRPr="008D187C">
              <w:rPr>
                <w:bCs/>
              </w:rPr>
              <w:t>jméno a kontaktní údaje zpracovatele nebo zpracovatelů a každého správce, pro něhož zpracovatel jedná, a případného zástupce správce nebo zpracovatele a pověřence pro ochranu osobních údajů</w:t>
            </w:r>
          </w:p>
        </w:tc>
      </w:tr>
      <w:tr w:rsidR="00BD1647" w:rsidRPr="008D187C" w:rsidTr="00642A60">
        <w:tc>
          <w:tcPr>
            <w:tcW w:w="4252" w:type="dxa"/>
            <w:vAlign w:val="center"/>
          </w:tcPr>
          <w:p w:rsidR="00BD1647" w:rsidRPr="008D187C" w:rsidRDefault="00BD1647" w:rsidP="00642A60">
            <w:pPr>
              <w:jc w:val="both"/>
            </w:pPr>
            <w:r w:rsidRPr="008D187C">
              <w:rPr>
                <w:bCs/>
              </w:rPr>
              <w:t>účel nebo účely zpracování</w:t>
            </w:r>
          </w:p>
        </w:tc>
        <w:tc>
          <w:tcPr>
            <w:tcW w:w="4531" w:type="dxa"/>
            <w:vAlign w:val="center"/>
          </w:tcPr>
          <w:p w:rsidR="00BD1647" w:rsidRPr="008D187C" w:rsidRDefault="00BD1647" w:rsidP="00642A60">
            <w:pPr>
              <w:jc w:val="both"/>
            </w:pPr>
            <w:r w:rsidRPr="008D187C">
              <w:rPr>
                <w:bCs/>
              </w:rPr>
              <w:t>kategorie zpracování prováděného pro každého ze správců</w:t>
            </w:r>
          </w:p>
        </w:tc>
      </w:tr>
      <w:tr w:rsidR="00BD1647" w:rsidRPr="008D187C" w:rsidTr="00642A60">
        <w:tc>
          <w:tcPr>
            <w:tcW w:w="4252" w:type="dxa"/>
            <w:vAlign w:val="center"/>
          </w:tcPr>
          <w:p w:rsidR="00BD1647" w:rsidRPr="008D187C" w:rsidRDefault="00BD1647" w:rsidP="00642A60">
            <w:pPr>
              <w:jc w:val="both"/>
            </w:pPr>
            <w:r w:rsidRPr="008D187C">
              <w:rPr>
                <w:bCs/>
              </w:rPr>
              <w:t>kategorie subjektů údajů a osobních údajů, které se těchto subjektů týkají</w:t>
            </w:r>
          </w:p>
        </w:tc>
        <w:tc>
          <w:tcPr>
            <w:tcW w:w="4531" w:type="dxa"/>
            <w:vAlign w:val="center"/>
          </w:tcPr>
          <w:p w:rsidR="00BD1647" w:rsidRPr="008D187C" w:rsidRDefault="00BD1647" w:rsidP="00642A60">
            <w:pPr>
              <w:jc w:val="both"/>
            </w:pPr>
            <w:r w:rsidRPr="008D187C">
              <w:rPr>
                <w:bCs/>
              </w:rPr>
              <w:t>informace o případném předání osobních údajů do třetí země nebo mezinárodní organizaci, včetně identifikace této třetí země či mezinárodní organizace a doložení vhodných záruk</w:t>
            </w:r>
          </w:p>
        </w:tc>
      </w:tr>
      <w:tr w:rsidR="00BD1647" w:rsidRPr="008D187C" w:rsidTr="00642A60">
        <w:tc>
          <w:tcPr>
            <w:tcW w:w="4252" w:type="dxa"/>
            <w:vAlign w:val="center"/>
          </w:tcPr>
          <w:p w:rsidR="00BD1647" w:rsidRPr="008D187C" w:rsidRDefault="00BD1647" w:rsidP="00642A60">
            <w:pPr>
              <w:jc w:val="both"/>
            </w:pPr>
            <w:r w:rsidRPr="008D187C">
              <w:rPr>
                <w:bCs/>
              </w:rPr>
              <w:t>zdroje osobních údajů</w:t>
            </w:r>
          </w:p>
        </w:tc>
        <w:tc>
          <w:tcPr>
            <w:tcW w:w="4531" w:type="dxa"/>
            <w:vAlign w:val="center"/>
          </w:tcPr>
          <w:p w:rsidR="00BD1647" w:rsidRPr="008D187C" w:rsidRDefault="00BD1647" w:rsidP="00642A60">
            <w:pPr>
              <w:jc w:val="both"/>
            </w:pPr>
            <w:r w:rsidRPr="008D187C">
              <w:rPr>
                <w:bCs/>
              </w:rPr>
              <w:t>je-li to možné, obecný popis technických a organizačních bezpečnostních opatření</w:t>
            </w:r>
          </w:p>
        </w:tc>
      </w:tr>
      <w:tr w:rsidR="00BD1647" w:rsidRPr="008D187C" w:rsidTr="00642A60">
        <w:tc>
          <w:tcPr>
            <w:tcW w:w="4252" w:type="dxa"/>
            <w:vAlign w:val="center"/>
          </w:tcPr>
          <w:p w:rsidR="00BD1647" w:rsidRPr="008D187C" w:rsidRDefault="00BD1647" w:rsidP="00642A60">
            <w:pPr>
              <w:jc w:val="both"/>
            </w:pPr>
            <w:r w:rsidRPr="008D187C">
              <w:rPr>
                <w:bCs/>
              </w:rPr>
              <w:lastRenderedPageBreak/>
              <w:t>popis způsobu zpracování osobních údajů</w:t>
            </w:r>
          </w:p>
        </w:tc>
        <w:tc>
          <w:tcPr>
            <w:tcW w:w="4531" w:type="dxa"/>
            <w:vAlign w:val="center"/>
          </w:tcPr>
          <w:p w:rsidR="00BD1647" w:rsidRPr="008D187C" w:rsidRDefault="00BD1647" w:rsidP="00642A60">
            <w:pPr>
              <w:jc w:val="both"/>
            </w:pPr>
          </w:p>
        </w:tc>
      </w:tr>
      <w:tr w:rsidR="00BD1647" w:rsidRPr="008D187C" w:rsidTr="00642A60">
        <w:tc>
          <w:tcPr>
            <w:tcW w:w="4252" w:type="dxa"/>
            <w:vAlign w:val="center"/>
          </w:tcPr>
          <w:p w:rsidR="00BD1647" w:rsidRPr="008D187C" w:rsidRDefault="00BD1647" w:rsidP="00642A60">
            <w:pPr>
              <w:jc w:val="both"/>
            </w:pPr>
            <w:r w:rsidRPr="008D187C">
              <w:rPr>
                <w:bCs/>
              </w:rPr>
              <w:t>příjemce nebo kategorie příjemců</w:t>
            </w:r>
          </w:p>
        </w:tc>
        <w:tc>
          <w:tcPr>
            <w:tcW w:w="4531" w:type="dxa"/>
            <w:vAlign w:val="center"/>
          </w:tcPr>
          <w:p w:rsidR="00BD1647" w:rsidRPr="008D187C" w:rsidRDefault="00BD1647" w:rsidP="00642A60">
            <w:pPr>
              <w:jc w:val="both"/>
            </w:pPr>
          </w:p>
        </w:tc>
      </w:tr>
      <w:tr w:rsidR="00BD1647" w:rsidRPr="008D187C" w:rsidTr="00642A60">
        <w:tc>
          <w:tcPr>
            <w:tcW w:w="4252" w:type="dxa"/>
            <w:vAlign w:val="center"/>
          </w:tcPr>
          <w:p w:rsidR="00BD1647" w:rsidRPr="008D187C" w:rsidRDefault="00BD1647" w:rsidP="00642A60">
            <w:pPr>
              <w:jc w:val="both"/>
            </w:pPr>
            <w:r w:rsidRPr="008D187C">
              <w:rPr>
                <w:bCs/>
              </w:rPr>
              <w:t>místo nebo místa zpracování osobních údajů</w:t>
            </w:r>
          </w:p>
        </w:tc>
        <w:tc>
          <w:tcPr>
            <w:tcW w:w="4531" w:type="dxa"/>
            <w:vAlign w:val="center"/>
          </w:tcPr>
          <w:p w:rsidR="00BD1647" w:rsidRPr="008D187C" w:rsidRDefault="00BD1647" w:rsidP="00642A60">
            <w:pPr>
              <w:jc w:val="both"/>
            </w:pPr>
          </w:p>
        </w:tc>
      </w:tr>
      <w:tr w:rsidR="00BD1647" w:rsidRPr="008D187C" w:rsidTr="00642A60">
        <w:tc>
          <w:tcPr>
            <w:tcW w:w="4252" w:type="dxa"/>
            <w:vAlign w:val="center"/>
          </w:tcPr>
          <w:p w:rsidR="00BD1647" w:rsidRPr="008D187C" w:rsidRDefault="00BD1647" w:rsidP="00642A60">
            <w:pPr>
              <w:jc w:val="both"/>
            </w:pPr>
            <w:r w:rsidRPr="008D187C">
              <w:rPr>
                <w:bCs/>
              </w:rPr>
              <w:t>předpokládaná předání osobních údajů do jiných států</w:t>
            </w:r>
          </w:p>
        </w:tc>
        <w:tc>
          <w:tcPr>
            <w:tcW w:w="4531" w:type="dxa"/>
            <w:vAlign w:val="center"/>
          </w:tcPr>
          <w:p w:rsidR="00BD1647" w:rsidRPr="008D187C" w:rsidRDefault="00BD1647" w:rsidP="00642A60">
            <w:pPr>
              <w:jc w:val="both"/>
            </w:pPr>
          </w:p>
        </w:tc>
      </w:tr>
      <w:tr w:rsidR="00BD1647" w:rsidRPr="008D187C" w:rsidTr="00642A60">
        <w:tc>
          <w:tcPr>
            <w:tcW w:w="4252" w:type="dxa"/>
            <w:vAlign w:val="center"/>
          </w:tcPr>
          <w:p w:rsidR="00BD1647" w:rsidRPr="008D187C" w:rsidRDefault="00BD1647" w:rsidP="00642A60">
            <w:pPr>
              <w:jc w:val="both"/>
            </w:pPr>
            <w:r w:rsidRPr="008D187C">
              <w:rPr>
                <w:bCs/>
              </w:rPr>
              <w:t>popis opatření k zajištění ochrany osobních údajů</w:t>
            </w:r>
          </w:p>
        </w:tc>
        <w:tc>
          <w:tcPr>
            <w:tcW w:w="4531" w:type="dxa"/>
            <w:vAlign w:val="center"/>
          </w:tcPr>
          <w:p w:rsidR="00BD1647" w:rsidRPr="008D187C" w:rsidRDefault="00BD1647" w:rsidP="00642A60">
            <w:pPr>
              <w:jc w:val="both"/>
            </w:pPr>
          </w:p>
        </w:tc>
      </w:tr>
    </w:tbl>
    <w:p w:rsidR="00BD1647" w:rsidRPr="008D187C" w:rsidRDefault="00BD1647" w:rsidP="00BD1647">
      <w:pPr>
        <w:spacing w:before="240" w:after="80"/>
        <w:ind w:left="284"/>
        <w:jc w:val="both"/>
        <w:rPr>
          <w:bCs/>
        </w:rPr>
      </w:pPr>
      <w:r w:rsidRPr="008D187C">
        <w:rPr>
          <w:bCs/>
        </w:rPr>
        <w:t xml:space="preserve">Zjednodušeně řečeno, záznamy dávají dopověď na otázky: </w:t>
      </w:r>
      <w:r w:rsidRPr="008D187C">
        <w:rPr>
          <w:b/>
          <w:bCs/>
        </w:rPr>
        <w:t>Kdo?</w:t>
      </w:r>
      <w:r w:rsidRPr="008D187C">
        <w:rPr>
          <w:bCs/>
        </w:rPr>
        <w:t xml:space="preserve"> </w:t>
      </w:r>
      <w:r w:rsidRPr="008D187C">
        <w:rPr>
          <w:b/>
          <w:bCs/>
        </w:rPr>
        <w:t>Proč?</w:t>
      </w:r>
      <w:r w:rsidRPr="008D187C">
        <w:rPr>
          <w:bCs/>
        </w:rPr>
        <w:t xml:space="preserve"> </w:t>
      </w:r>
      <w:r w:rsidRPr="008D187C">
        <w:rPr>
          <w:b/>
          <w:bCs/>
        </w:rPr>
        <w:t>Co?</w:t>
      </w:r>
      <w:r w:rsidRPr="008D187C">
        <w:rPr>
          <w:bCs/>
        </w:rPr>
        <w:t xml:space="preserve"> </w:t>
      </w:r>
      <w:r w:rsidRPr="008D187C">
        <w:rPr>
          <w:b/>
          <w:bCs/>
        </w:rPr>
        <w:t>Kde?</w:t>
      </w:r>
      <w:r w:rsidRPr="008D187C">
        <w:rPr>
          <w:bCs/>
        </w:rPr>
        <w:t xml:space="preserve"> </w:t>
      </w:r>
      <w:r w:rsidRPr="008D187C">
        <w:rPr>
          <w:b/>
          <w:bCs/>
        </w:rPr>
        <w:t>Jak dlouho, do kdy?</w:t>
      </w:r>
      <w:r w:rsidRPr="008D187C">
        <w:rPr>
          <w:bCs/>
        </w:rPr>
        <w:t xml:space="preserve"> </w:t>
      </w:r>
      <w:r w:rsidRPr="008D187C">
        <w:rPr>
          <w:b/>
          <w:bCs/>
        </w:rPr>
        <w:t>Jak?</w:t>
      </w:r>
      <w:r w:rsidRPr="008D187C">
        <w:rPr>
          <w:bCs/>
        </w:rPr>
        <w:t xml:space="preserve"> </w:t>
      </w:r>
    </w:p>
    <w:p w:rsidR="00BD1647" w:rsidRPr="008D187C" w:rsidRDefault="00BD1647" w:rsidP="00BD1647">
      <w:pPr>
        <w:spacing w:after="80"/>
        <w:ind w:left="284"/>
        <w:jc w:val="both"/>
        <w:rPr>
          <w:bCs/>
        </w:rPr>
      </w:pPr>
      <w:r w:rsidRPr="008D187C">
        <w:rPr>
          <w:bCs/>
        </w:rPr>
        <w:t>Záznamy musí být vyhotoveny písemně; za písemnou formu je považována i elektronická podoba.</w:t>
      </w:r>
    </w:p>
    <w:p w:rsidR="00BD1647" w:rsidRPr="008D187C" w:rsidRDefault="00BD1647" w:rsidP="00BD1647">
      <w:pPr>
        <w:spacing w:after="120"/>
        <w:ind w:left="284"/>
        <w:jc w:val="both"/>
        <w:rPr>
          <w:b/>
          <w:bCs/>
        </w:rPr>
      </w:pPr>
      <w:r w:rsidRPr="008D187C">
        <w:rPr>
          <w:b/>
          <w:bCs/>
        </w:rPr>
        <w:t>Dozorový úřad je pak oprávněn si tyto záznamy vyžádat a správce či zpracovatel jsou povinni záznamy poskytnout.</w:t>
      </w:r>
    </w:p>
    <w:p w:rsidR="00BD1647" w:rsidRPr="008D187C" w:rsidRDefault="00BD1647" w:rsidP="00BD1647">
      <w:pPr>
        <w:pStyle w:val="Odstavecseseznamem"/>
        <w:numPr>
          <w:ilvl w:val="1"/>
          <w:numId w:val="8"/>
        </w:numPr>
        <w:spacing w:after="120" w:line="240" w:lineRule="auto"/>
        <w:ind w:left="284" w:hanging="284"/>
        <w:contextualSpacing w:val="0"/>
        <w:jc w:val="both"/>
        <w:rPr>
          <w:szCs w:val="24"/>
        </w:rPr>
      </w:pPr>
      <w:r w:rsidRPr="008D187C">
        <w:rPr>
          <w:b/>
          <w:szCs w:val="24"/>
          <w:u w:val="single"/>
        </w:rPr>
        <w:t>Odstranění nadbytečných údajů</w:t>
      </w:r>
    </w:p>
    <w:p w:rsidR="00BD1647" w:rsidRPr="008D187C" w:rsidRDefault="00BD1647" w:rsidP="00BD1647">
      <w:pPr>
        <w:pStyle w:val="Odstavecseseznamem"/>
        <w:numPr>
          <w:ilvl w:val="1"/>
          <w:numId w:val="8"/>
        </w:numPr>
        <w:spacing w:after="240" w:line="240" w:lineRule="auto"/>
        <w:ind w:left="284" w:hanging="284"/>
        <w:contextualSpacing w:val="0"/>
        <w:jc w:val="both"/>
        <w:rPr>
          <w:szCs w:val="24"/>
        </w:rPr>
      </w:pPr>
      <w:r w:rsidRPr="008D187C">
        <w:rPr>
          <w:b/>
          <w:szCs w:val="24"/>
          <w:u w:val="single"/>
        </w:rPr>
        <w:t>Odstranění nadbytečných souhlasů a úprava textů zbývajících souhlasů</w:t>
      </w:r>
    </w:p>
    <w:tbl>
      <w:tblPr>
        <w:tblW w:w="0" w:type="auto"/>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3"/>
      </w:tblGrid>
      <w:tr w:rsidR="00BD1647" w:rsidRPr="008D187C" w:rsidTr="00642A60">
        <w:tc>
          <w:tcPr>
            <w:tcW w:w="5953" w:type="dxa"/>
            <w:shd w:val="clear" w:color="auto" w:fill="FFC000"/>
            <w:vAlign w:val="center"/>
          </w:tcPr>
          <w:p w:rsidR="00BD1647" w:rsidRPr="008D187C" w:rsidRDefault="00BD1647" w:rsidP="00642A60">
            <w:pPr>
              <w:jc w:val="center"/>
              <w:rPr>
                <w:b/>
              </w:rPr>
            </w:pPr>
            <w:r w:rsidRPr="008D187C">
              <w:rPr>
                <w:b/>
              </w:rPr>
              <w:t>Vlastnosti souhlasu</w:t>
            </w:r>
          </w:p>
        </w:tc>
      </w:tr>
      <w:tr w:rsidR="00BD1647" w:rsidRPr="008D187C" w:rsidTr="00642A60">
        <w:tc>
          <w:tcPr>
            <w:tcW w:w="5953" w:type="dxa"/>
            <w:vAlign w:val="center"/>
          </w:tcPr>
          <w:p w:rsidR="00BD1647" w:rsidRPr="008D187C" w:rsidRDefault="00BD1647" w:rsidP="00642A60">
            <w:pPr>
              <w:jc w:val="both"/>
            </w:pPr>
            <w:r w:rsidRPr="008D187C">
              <w:t>svobodný</w:t>
            </w:r>
          </w:p>
        </w:tc>
      </w:tr>
      <w:tr w:rsidR="00BD1647" w:rsidRPr="008D187C" w:rsidTr="00642A60">
        <w:tc>
          <w:tcPr>
            <w:tcW w:w="5953" w:type="dxa"/>
            <w:vAlign w:val="center"/>
          </w:tcPr>
          <w:p w:rsidR="00BD1647" w:rsidRPr="008D187C" w:rsidRDefault="00BD1647" w:rsidP="00642A60">
            <w:pPr>
              <w:jc w:val="both"/>
            </w:pPr>
            <w:r w:rsidRPr="008D187C">
              <w:t>konkrétní</w:t>
            </w:r>
          </w:p>
        </w:tc>
      </w:tr>
      <w:tr w:rsidR="00BD1647" w:rsidRPr="008D187C" w:rsidTr="00642A60">
        <w:tc>
          <w:tcPr>
            <w:tcW w:w="5953" w:type="dxa"/>
            <w:vAlign w:val="center"/>
          </w:tcPr>
          <w:p w:rsidR="00BD1647" w:rsidRPr="008D187C" w:rsidRDefault="00BD1647" w:rsidP="00642A60">
            <w:pPr>
              <w:jc w:val="both"/>
            </w:pPr>
            <w:r w:rsidRPr="008D187C">
              <w:t>informovaný</w:t>
            </w:r>
          </w:p>
        </w:tc>
      </w:tr>
      <w:tr w:rsidR="00BD1647" w:rsidRPr="008D187C" w:rsidTr="00642A60">
        <w:tc>
          <w:tcPr>
            <w:tcW w:w="5953" w:type="dxa"/>
            <w:vAlign w:val="center"/>
          </w:tcPr>
          <w:p w:rsidR="00BD1647" w:rsidRPr="008D187C" w:rsidRDefault="00BD1647" w:rsidP="00642A60">
            <w:pPr>
              <w:jc w:val="both"/>
            </w:pPr>
            <w:r w:rsidRPr="008D187C">
              <w:t>jednoznačný projev vůle</w:t>
            </w:r>
          </w:p>
        </w:tc>
      </w:tr>
      <w:tr w:rsidR="00BD1647" w:rsidRPr="008D187C" w:rsidTr="00642A60">
        <w:tc>
          <w:tcPr>
            <w:tcW w:w="5953" w:type="dxa"/>
            <w:vAlign w:val="center"/>
          </w:tcPr>
          <w:p w:rsidR="00BD1647" w:rsidRPr="008D187C" w:rsidRDefault="00BD1647" w:rsidP="00642A60">
            <w:pPr>
              <w:jc w:val="both"/>
            </w:pPr>
            <w:r w:rsidRPr="008D187C">
              <w:t>odvolatelný</w:t>
            </w:r>
          </w:p>
        </w:tc>
      </w:tr>
      <w:tr w:rsidR="00BD1647" w:rsidRPr="008D187C" w:rsidTr="00642A60">
        <w:tc>
          <w:tcPr>
            <w:tcW w:w="5953" w:type="dxa"/>
            <w:vAlign w:val="center"/>
          </w:tcPr>
          <w:p w:rsidR="00BD1647" w:rsidRPr="008D187C" w:rsidRDefault="00BD1647" w:rsidP="00642A60">
            <w:pPr>
              <w:jc w:val="both"/>
            </w:pPr>
            <w:r w:rsidRPr="008D187C">
              <w:t>jediný možný titul pro zpracování osobních údajů v dané situaci, tzn. není nadbytečný</w:t>
            </w:r>
          </w:p>
        </w:tc>
      </w:tr>
      <w:tr w:rsidR="00BD1647" w:rsidRPr="008D187C" w:rsidTr="00642A60">
        <w:tc>
          <w:tcPr>
            <w:tcW w:w="5953" w:type="dxa"/>
            <w:vAlign w:val="center"/>
          </w:tcPr>
          <w:p w:rsidR="00BD1647" w:rsidRPr="008D187C" w:rsidRDefault="00BD1647" w:rsidP="00642A60">
            <w:pPr>
              <w:jc w:val="both"/>
            </w:pPr>
            <w:r w:rsidRPr="008D187C">
              <w:t>je využito jednoduchých a srozumitelných jazykových prostředků</w:t>
            </w:r>
          </w:p>
        </w:tc>
      </w:tr>
      <w:tr w:rsidR="00BD1647" w:rsidRPr="008D187C" w:rsidTr="00642A60">
        <w:tc>
          <w:tcPr>
            <w:tcW w:w="5953" w:type="dxa"/>
            <w:vAlign w:val="center"/>
          </w:tcPr>
          <w:p w:rsidR="00BD1647" w:rsidRPr="008D187C" w:rsidRDefault="00BD1647" w:rsidP="00642A60">
            <w:pPr>
              <w:jc w:val="both"/>
            </w:pPr>
            <w:r w:rsidRPr="008D187C">
              <w:t>jasné rozlišení jednotlivých účelů, které mohou být subjektem údajů proškrtány</w:t>
            </w:r>
          </w:p>
        </w:tc>
      </w:tr>
      <w:tr w:rsidR="00BD1647" w:rsidRPr="008D187C" w:rsidTr="00642A60">
        <w:tc>
          <w:tcPr>
            <w:tcW w:w="5953" w:type="dxa"/>
            <w:vAlign w:val="center"/>
          </w:tcPr>
          <w:p w:rsidR="00BD1647" w:rsidRPr="008D187C" w:rsidRDefault="00BD1647" w:rsidP="00642A60">
            <w:pPr>
              <w:jc w:val="both"/>
            </w:pPr>
            <w:r w:rsidRPr="008D187C">
              <w:t>odmítnutím udělení souhlasu subjekt údajů nebude poškozen</w:t>
            </w:r>
          </w:p>
        </w:tc>
      </w:tr>
      <w:tr w:rsidR="00BD1647" w:rsidRPr="008D187C" w:rsidTr="00642A60">
        <w:tc>
          <w:tcPr>
            <w:tcW w:w="5953" w:type="dxa"/>
            <w:vAlign w:val="center"/>
          </w:tcPr>
          <w:p w:rsidR="00BD1647" w:rsidRPr="008D187C" w:rsidRDefault="00BD1647" w:rsidP="00642A60">
            <w:pPr>
              <w:jc w:val="both"/>
            </w:pPr>
            <w:r w:rsidRPr="008D187C">
              <w:t>souhlas není podmínkou poskytnutí služby</w:t>
            </w:r>
          </w:p>
        </w:tc>
      </w:tr>
    </w:tbl>
    <w:p w:rsidR="00BD1647" w:rsidRPr="008D187C" w:rsidRDefault="00BD1647" w:rsidP="00BD1647">
      <w:pPr>
        <w:spacing w:before="240" w:after="80"/>
        <w:ind w:left="284"/>
        <w:jc w:val="both"/>
        <w:rPr>
          <w:b/>
        </w:rPr>
      </w:pPr>
      <w:r w:rsidRPr="008D187C">
        <w:rPr>
          <w:b/>
        </w:rPr>
        <w:t>Poskytnutý souhlas je nutné prokázat po celou dobu zpracování.</w:t>
      </w:r>
    </w:p>
    <w:p w:rsidR="00BD1647" w:rsidRPr="008D187C" w:rsidRDefault="00BD1647" w:rsidP="00BD1647">
      <w:pPr>
        <w:spacing w:after="120"/>
        <w:ind w:left="284"/>
        <w:jc w:val="both"/>
      </w:pPr>
      <w:r w:rsidRPr="008D187C">
        <w:t>Souhlas nemusí být v podobě písemného prohlášení, ale i učiněného elektronicky, nebo i ústně, ale musí být prokazatelný.</w:t>
      </w:r>
    </w:p>
    <w:p w:rsidR="00BD1647" w:rsidRPr="008D187C" w:rsidRDefault="00BD1647" w:rsidP="00BD1647">
      <w:pPr>
        <w:pStyle w:val="Odstavecseseznamem"/>
        <w:numPr>
          <w:ilvl w:val="1"/>
          <w:numId w:val="8"/>
        </w:numPr>
        <w:spacing w:after="80" w:line="240" w:lineRule="auto"/>
        <w:ind w:left="284" w:hanging="284"/>
        <w:contextualSpacing w:val="0"/>
        <w:jc w:val="both"/>
        <w:rPr>
          <w:szCs w:val="24"/>
        </w:rPr>
      </w:pPr>
      <w:r w:rsidRPr="008D187C">
        <w:rPr>
          <w:b/>
          <w:szCs w:val="24"/>
          <w:u w:val="single"/>
        </w:rPr>
        <w:t>Úprava textu poskytovaných informací subjektu údajů</w:t>
      </w:r>
    </w:p>
    <w:p w:rsidR="00BD1647" w:rsidRPr="008D187C" w:rsidRDefault="00BD1647" w:rsidP="00BD1647">
      <w:pPr>
        <w:numPr>
          <w:ilvl w:val="0"/>
          <w:numId w:val="2"/>
        </w:numPr>
        <w:tabs>
          <w:tab w:val="clear" w:pos="720"/>
        </w:tabs>
        <w:spacing w:after="40" w:line="240" w:lineRule="auto"/>
        <w:ind w:left="567" w:hanging="283"/>
        <w:jc w:val="both"/>
      </w:pPr>
      <w:r w:rsidRPr="008D187C">
        <w:rPr>
          <w:bCs/>
        </w:rPr>
        <w:t xml:space="preserve">Informační oznámení musí být „stručné, transparentní, srozumitelné a snadno přístupné“. </w:t>
      </w:r>
    </w:p>
    <w:p w:rsidR="00BD1647" w:rsidRPr="008D187C" w:rsidRDefault="00BD1647" w:rsidP="00BD1647">
      <w:pPr>
        <w:numPr>
          <w:ilvl w:val="0"/>
          <w:numId w:val="2"/>
        </w:numPr>
        <w:tabs>
          <w:tab w:val="clear" w:pos="720"/>
        </w:tabs>
        <w:spacing w:after="40" w:line="240" w:lineRule="auto"/>
        <w:ind w:left="567" w:hanging="283"/>
        <w:jc w:val="both"/>
      </w:pPr>
      <w:r w:rsidRPr="008D187C">
        <w:rPr>
          <w:bCs/>
        </w:rPr>
        <w:t>Jazyk informačního sdělení musí být jasný a srozumitelný.</w:t>
      </w:r>
      <w:r w:rsidRPr="008D187C">
        <w:t xml:space="preserve"> </w:t>
      </w:r>
    </w:p>
    <w:p w:rsidR="00BD1647" w:rsidRPr="008D187C" w:rsidRDefault="00BD1647" w:rsidP="00BD1647">
      <w:pPr>
        <w:numPr>
          <w:ilvl w:val="0"/>
          <w:numId w:val="2"/>
        </w:numPr>
        <w:tabs>
          <w:tab w:val="clear" w:pos="720"/>
        </w:tabs>
        <w:spacing w:after="40" w:line="240" w:lineRule="auto"/>
        <w:ind w:left="567" w:hanging="283"/>
        <w:jc w:val="both"/>
      </w:pPr>
      <w:r w:rsidRPr="008D187C">
        <w:rPr>
          <w:bCs/>
        </w:rPr>
        <w:t>Informace musí být poskytovány písemně nebo jiným způsobem.</w:t>
      </w:r>
      <w:r w:rsidRPr="008D187C">
        <w:t xml:space="preserve"> </w:t>
      </w:r>
    </w:p>
    <w:p w:rsidR="00BD1647" w:rsidRPr="008D187C" w:rsidRDefault="00BD1647" w:rsidP="00BD1647">
      <w:pPr>
        <w:numPr>
          <w:ilvl w:val="0"/>
          <w:numId w:val="2"/>
        </w:numPr>
        <w:tabs>
          <w:tab w:val="clear" w:pos="720"/>
        </w:tabs>
        <w:spacing w:after="40" w:line="240" w:lineRule="auto"/>
        <w:ind w:left="567" w:hanging="283"/>
        <w:jc w:val="both"/>
      </w:pPr>
      <w:r w:rsidRPr="008D187C">
        <w:rPr>
          <w:bCs/>
        </w:rPr>
        <w:lastRenderedPageBreak/>
        <w:t>Informace mohou být poskytnuty i ústně.</w:t>
      </w:r>
      <w:r w:rsidRPr="008D187C">
        <w:t xml:space="preserve"> </w:t>
      </w:r>
    </w:p>
    <w:p w:rsidR="00BD1647" w:rsidRPr="008D187C" w:rsidRDefault="00BD1647" w:rsidP="00BD1647">
      <w:pPr>
        <w:numPr>
          <w:ilvl w:val="0"/>
          <w:numId w:val="2"/>
        </w:numPr>
        <w:tabs>
          <w:tab w:val="clear" w:pos="720"/>
        </w:tabs>
        <w:spacing w:after="40" w:line="240" w:lineRule="auto"/>
        <w:ind w:left="568" w:hanging="284"/>
        <w:jc w:val="both"/>
      </w:pPr>
      <w:r w:rsidRPr="008D187C">
        <w:rPr>
          <w:bCs/>
        </w:rPr>
        <w:t>Informace musí být poskytovány zdarma.</w:t>
      </w:r>
      <w:r w:rsidRPr="008D187C">
        <w:t xml:space="preserve"> </w:t>
      </w:r>
    </w:p>
    <w:p w:rsidR="00BD1647" w:rsidRPr="008D187C" w:rsidRDefault="00BD1647" w:rsidP="00BD1647">
      <w:pPr>
        <w:numPr>
          <w:ilvl w:val="0"/>
          <w:numId w:val="2"/>
        </w:numPr>
        <w:tabs>
          <w:tab w:val="clear" w:pos="720"/>
        </w:tabs>
        <w:spacing w:after="40" w:line="240" w:lineRule="auto"/>
        <w:ind w:left="567" w:hanging="283"/>
        <w:jc w:val="both"/>
      </w:pPr>
      <w:r w:rsidRPr="008D187C">
        <w:rPr>
          <w:bCs/>
        </w:rPr>
        <w:t xml:space="preserve">Obsah oznámení musí naplnit požadavky Nařízení (čl. 13 a 14). </w:t>
      </w:r>
    </w:p>
    <w:p w:rsidR="00BD1647" w:rsidRPr="008D187C" w:rsidRDefault="00BD1647" w:rsidP="00BD1647">
      <w:pPr>
        <w:numPr>
          <w:ilvl w:val="0"/>
          <w:numId w:val="2"/>
        </w:numPr>
        <w:tabs>
          <w:tab w:val="clear" w:pos="720"/>
        </w:tabs>
        <w:spacing w:after="40" w:line="240" w:lineRule="auto"/>
        <w:ind w:left="567" w:hanging="283"/>
        <w:jc w:val="both"/>
      </w:pPr>
      <w:r w:rsidRPr="008D187C">
        <w:t xml:space="preserve">Změny musí být subjektu údajů včas oznámeny a vysvětleny. </w:t>
      </w:r>
    </w:p>
    <w:p w:rsidR="00BD1647" w:rsidRPr="008D187C" w:rsidRDefault="00BD1647" w:rsidP="00BD1647">
      <w:pPr>
        <w:numPr>
          <w:ilvl w:val="0"/>
          <w:numId w:val="2"/>
        </w:numPr>
        <w:tabs>
          <w:tab w:val="clear" w:pos="720"/>
        </w:tabs>
        <w:spacing w:after="120" w:line="240" w:lineRule="auto"/>
        <w:ind w:left="568" w:hanging="284"/>
        <w:jc w:val="both"/>
      </w:pPr>
      <w:r w:rsidRPr="008D187C">
        <w:t>Informace musí být subjektům údajů poskytnuty v počáteční fázi zpracování osobních údajů</w:t>
      </w:r>
      <w:r w:rsidRPr="008D187C">
        <w:rPr>
          <w:bCs/>
        </w:rPr>
        <w:t>.</w:t>
      </w:r>
    </w:p>
    <w:p w:rsidR="00BD1647" w:rsidRPr="008D187C" w:rsidRDefault="00BD1647" w:rsidP="00BD1647">
      <w:pPr>
        <w:pStyle w:val="Odstavecseseznamem"/>
        <w:numPr>
          <w:ilvl w:val="1"/>
          <w:numId w:val="8"/>
        </w:numPr>
        <w:spacing w:after="80" w:line="240" w:lineRule="auto"/>
        <w:ind w:left="284" w:hanging="284"/>
        <w:contextualSpacing w:val="0"/>
        <w:jc w:val="both"/>
        <w:rPr>
          <w:szCs w:val="24"/>
        </w:rPr>
      </w:pPr>
      <w:r w:rsidRPr="008D187C">
        <w:rPr>
          <w:b/>
          <w:szCs w:val="24"/>
          <w:u w:val="single"/>
        </w:rPr>
        <w:t>Úprava zpracovatelských smluv</w:t>
      </w:r>
    </w:p>
    <w:p w:rsidR="00BD1647" w:rsidRPr="008D187C" w:rsidRDefault="00BD1647" w:rsidP="00BD1647">
      <w:pPr>
        <w:spacing w:after="80"/>
        <w:ind w:left="284"/>
        <w:jc w:val="both"/>
      </w:pPr>
      <w:r w:rsidRPr="008D187C">
        <w:t>V současné době existují vedle sebe dva právní názory na určení zpracovatele ve smyslu zákona o ochraně osobních údajů, resp. Nařízení, a to:</w:t>
      </w:r>
    </w:p>
    <w:p w:rsidR="00BD1647" w:rsidRPr="008D187C" w:rsidRDefault="00BD1647" w:rsidP="00BD1647">
      <w:pPr>
        <w:numPr>
          <w:ilvl w:val="0"/>
          <w:numId w:val="4"/>
        </w:numPr>
        <w:spacing w:after="80" w:line="240" w:lineRule="auto"/>
        <w:ind w:left="568" w:hanging="284"/>
        <w:jc w:val="both"/>
      </w:pPr>
      <w:r w:rsidRPr="008D187C">
        <w:t xml:space="preserve">Zpracovatelem je pouze ta osoba, která sice má v rámci plnění předmětu smlouvy (poskytování služby) přístup k osobním údajům jiného správce, ale s těmito daty aktivně nenakládá a ani je nijak nevyužívá (např. administrátoři informačních systémů). </w:t>
      </w:r>
    </w:p>
    <w:p w:rsidR="00BD1647" w:rsidRPr="008D187C" w:rsidRDefault="00BD1647" w:rsidP="00BD1647">
      <w:pPr>
        <w:pStyle w:val="odrka1"/>
        <w:numPr>
          <w:ilvl w:val="0"/>
          <w:numId w:val="4"/>
        </w:numPr>
        <w:spacing w:before="0" w:after="80" w:line="240" w:lineRule="auto"/>
        <w:ind w:left="568" w:hanging="284"/>
        <w:rPr>
          <w:rFonts w:asciiTheme="minorHAnsi" w:hAnsiTheme="minorHAnsi"/>
          <w:sz w:val="24"/>
          <w:szCs w:val="24"/>
        </w:rPr>
      </w:pPr>
      <w:r w:rsidRPr="008D187C">
        <w:rPr>
          <w:rFonts w:asciiTheme="minorHAnsi" w:hAnsiTheme="minorHAnsi"/>
          <w:sz w:val="24"/>
          <w:szCs w:val="24"/>
        </w:rPr>
        <w:t xml:space="preserve">Zpracovatelem je kterákoli smluvní osoba, která sice s osobními údaji nijak nenakládá, ale nelze při plnění předmětu smlouvy vyloučit její např. nahlédnutí na osobní údaje (při servisním zásahu, upgrade systému atd.). Tento názor vychází ze skutečnosti, že definice zpracování (osobních údajů) byla v čl. 4 odst. 2 Nařízení oproti zákonu o ochraně osobních údajů rozšířena i o </w:t>
      </w:r>
      <w:r w:rsidRPr="008D187C">
        <w:rPr>
          <w:rFonts w:asciiTheme="minorHAnsi" w:hAnsiTheme="minorHAnsi"/>
          <w:sz w:val="24"/>
          <w:szCs w:val="24"/>
          <w:u w:val="single"/>
        </w:rPr>
        <w:t>nahlédnutí</w:t>
      </w:r>
      <w:r w:rsidRPr="008D187C">
        <w:rPr>
          <w:rFonts w:asciiTheme="minorHAnsi" w:hAnsiTheme="minorHAnsi"/>
          <w:sz w:val="24"/>
          <w:szCs w:val="24"/>
        </w:rPr>
        <w:t xml:space="preserve"> či </w:t>
      </w:r>
      <w:r w:rsidRPr="008D187C">
        <w:rPr>
          <w:rFonts w:asciiTheme="minorHAnsi" w:hAnsiTheme="minorHAnsi"/>
          <w:sz w:val="24"/>
          <w:szCs w:val="24"/>
          <w:u w:val="single"/>
        </w:rPr>
        <w:t>jakékoliv zpřístupnění</w:t>
      </w:r>
      <w:r w:rsidRPr="008D187C">
        <w:rPr>
          <w:rFonts w:asciiTheme="minorHAnsi" w:hAnsiTheme="minorHAnsi"/>
          <w:sz w:val="24"/>
          <w:szCs w:val="24"/>
        </w:rPr>
        <w:t xml:space="preserve">. </w:t>
      </w:r>
    </w:p>
    <w:p w:rsidR="00BD1647" w:rsidRPr="008D187C" w:rsidRDefault="00BD1647" w:rsidP="00BD1647">
      <w:pPr>
        <w:spacing w:after="80"/>
        <w:ind w:left="284"/>
        <w:jc w:val="both"/>
      </w:pPr>
      <w:r w:rsidRPr="008D187C">
        <w:t xml:space="preserve">Dle dostupných informací lze konstatovat, že druhý názor v současnosti převažuje. </w:t>
      </w:r>
    </w:p>
    <w:p w:rsidR="00BD1647" w:rsidRPr="008D187C" w:rsidRDefault="00BD1647" w:rsidP="00BD1647">
      <w:pPr>
        <w:autoSpaceDE w:val="0"/>
        <w:autoSpaceDN w:val="0"/>
        <w:adjustRightInd w:val="0"/>
        <w:spacing w:after="80"/>
        <w:ind w:left="284"/>
        <w:jc w:val="both"/>
        <w:rPr>
          <w:color w:val="000000"/>
        </w:rPr>
      </w:pPr>
      <w:r w:rsidRPr="008D187C">
        <w:rPr>
          <w:color w:val="000000"/>
        </w:rPr>
        <w:t>Smlouva nemusí být uzavřena samostatně, obsah požadovaný Nařízením může být včleněn do jakékoli smlouvy (např. příkazní, o poskytování služeb). Smlouva však vždy musí být písemná.</w:t>
      </w:r>
    </w:p>
    <w:p w:rsidR="00BD1647" w:rsidRPr="008D187C" w:rsidRDefault="00BD1647" w:rsidP="00BD1647">
      <w:pPr>
        <w:spacing w:after="80"/>
        <w:ind w:left="284"/>
        <w:jc w:val="both"/>
        <w:rPr>
          <w:u w:val="single"/>
        </w:rPr>
      </w:pPr>
      <w:bookmarkStart w:id="0" w:name="_Hlk504982631"/>
      <w:r w:rsidRPr="008D187C">
        <w:rPr>
          <w:u w:val="single"/>
        </w:rPr>
        <w:t>Smlouva musí obsahovat:</w:t>
      </w:r>
    </w:p>
    <w:p w:rsidR="00BD1647" w:rsidRPr="008D187C" w:rsidRDefault="00BD1647" w:rsidP="00BD1647">
      <w:pPr>
        <w:pStyle w:val="Odstavecseseznamem"/>
        <w:numPr>
          <w:ilvl w:val="0"/>
          <w:numId w:val="10"/>
        </w:numPr>
        <w:spacing w:after="40" w:line="240" w:lineRule="auto"/>
        <w:ind w:left="568" w:hanging="284"/>
        <w:contextualSpacing w:val="0"/>
        <w:jc w:val="both"/>
        <w:rPr>
          <w:szCs w:val="24"/>
        </w:rPr>
      </w:pPr>
      <w:r w:rsidRPr="008D187C">
        <w:rPr>
          <w:b/>
          <w:szCs w:val="24"/>
        </w:rPr>
        <w:t>předmět a dobu trvání zpracování</w:t>
      </w:r>
      <w:r w:rsidRPr="008D187C">
        <w:rPr>
          <w:szCs w:val="24"/>
        </w:rPr>
        <w:t xml:space="preserve"> – vymezení předmětu zpracování musí být dostatečně určité, nepostačí obecné vymezení, že předmětem smlouvy je zpracování osobních údajů. </w:t>
      </w:r>
    </w:p>
    <w:p w:rsidR="00BD1647" w:rsidRPr="008D187C" w:rsidRDefault="00BD1647" w:rsidP="00BD1647">
      <w:pPr>
        <w:pStyle w:val="Odstavecseseznamem"/>
        <w:numPr>
          <w:ilvl w:val="0"/>
          <w:numId w:val="10"/>
        </w:numPr>
        <w:spacing w:after="40" w:line="240" w:lineRule="auto"/>
        <w:ind w:left="568" w:hanging="284"/>
        <w:contextualSpacing w:val="0"/>
        <w:jc w:val="both"/>
        <w:rPr>
          <w:szCs w:val="24"/>
        </w:rPr>
      </w:pPr>
      <w:r w:rsidRPr="008D187C">
        <w:rPr>
          <w:b/>
          <w:szCs w:val="24"/>
        </w:rPr>
        <w:t>povahu a účel zpracování</w:t>
      </w:r>
      <w:r w:rsidRPr="008D187C">
        <w:rPr>
          <w:szCs w:val="24"/>
        </w:rPr>
        <w:t xml:space="preserve"> – i tyto kategorie musí být vymezeny co nejkonkrétněji. Vymezený účel zpracování může být užší, než je tomu u správce osobních údajů, nikdy však nesmí být širší a vždy musí být v souladu.</w:t>
      </w:r>
    </w:p>
    <w:p w:rsidR="00BD1647" w:rsidRPr="008D187C" w:rsidRDefault="00BD1647" w:rsidP="00BD1647">
      <w:pPr>
        <w:pStyle w:val="Odstavecseseznamem"/>
        <w:numPr>
          <w:ilvl w:val="0"/>
          <w:numId w:val="10"/>
        </w:numPr>
        <w:spacing w:after="40" w:line="240" w:lineRule="auto"/>
        <w:ind w:left="568" w:hanging="284"/>
        <w:contextualSpacing w:val="0"/>
        <w:jc w:val="both"/>
        <w:rPr>
          <w:szCs w:val="24"/>
        </w:rPr>
      </w:pPr>
      <w:r w:rsidRPr="008D187C">
        <w:rPr>
          <w:b/>
          <w:szCs w:val="24"/>
        </w:rPr>
        <w:t>typ osobních údajů a kategorie subjektů údajů</w:t>
      </w:r>
      <w:r w:rsidRPr="008D187C">
        <w:rPr>
          <w:szCs w:val="24"/>
        </w:rPr>
        <w:t xml:space="preserve"> – v této části smlouvy budou konkretizovány osobní údaje, k nimž se smlouva vztahuje, a osoby, kterých se tyto údaje týkají.</w:t>
      </w:r>
    </w:p>
    <w:p w:rsidR="00BD1647" w:rsidRPr="008D187C" w:rsidRDefault="00BD1647" w:rsidP="00BD1647">
      <w:pPr>
        <w:pStyle w:val="Odstavecseseznamem"/>
        <w:numPr>
          <w:ilvl w:val="0"/>
          <w:numId w:val="10"/>
        </w:numPr>
        <w:spacing w:after="40" w:line="240" w:lineRule="auto"/>
        <w:ind w:left="568" w:hanging="284"/>
        <w:contextualSpacing w:val="0"/>
        <w:jc w:val="both"/>
        <w:rPr>
          <w:szCs w:val="24"/>
        </w:rPr>
      </w:pPr>
      <w:r w:rsidRPr="008D187C">
        <w:rPr>
          <w:b/>
          <w:szCs w:val="24"/>
        </w:rPr>
        <w:t>povinnosti a práva správce</w:t>
      </w:r>
      <w:r w:rsidRPr="008D187C">
        <w:rPr>
          <w:szCs w:val="24"/>
        </w:rPr>
        <w:t xml:space="preserve"> – tyto povinnosti a práva vyplývají z celého Nařízení, neboť, jak už bylo řečeno, </w:t>
      </w:r>
      <w:r w:rsidRPr="008D187C">
        <w:rPr>
          <w:szCs w:val="24"/>
          <w:u w:val="single"/>
        </w:rPr>
        <w:t>předáním údajů zpracovateli se správce nezbavuje</w:t>
      </w:r>
      <w:r w:rsidRPr="008D187C">
        <w:rPr>
          <w:szCs w:val="24"/>
        </w:rPr>
        <w:t xml:space="preserve"> </w:t>
      </w:r>
      <w:r w:rsidRPr="008D187C">
        <w:rPr>
          <w:szCs w:val="24"/>
          <w:u w:val="single"/>
        </w:rPr>
        <w:t>odpovědnosti za zpracovávané osobních údajů</w:t>
      </w:r>
      <w:r w:rsidRPr="008D187C">
        <w:rPr>
          <w:szCs w:val="24"/>
        </w:rPr>
        <w:t>.</w:t>
      </w:r>
    </w:p>
    <w:p w:rsidR="00BD1647" w:rsidRPr="008D187C" w:rsidRDefault="00BD1647" w:rsidP="00BD1647">
      <w:pPr>
        <w:pStyle w:val="Odstavecseseznamem"/>
        <w:numPr>
          <w:ilvl w:val="0"/>
          <w:numId w:val="10"/>
        </w:numPr>
        <w:spacing w:after="40" w:line="240" w:lineRule="auto"/>
        <w:ind w:left="568" w:hanging="284"/>
        <w:contextualSpacing w:val="0"/>
        <w:jc w:val="both"/>
        <w:rPr>
          <w:szCs w:val="24"/>
        </w:rPr>
      </w:pPr>
      <w:r w:rsidRPr="008D187C">
        <w:rPr>
          <w:b/>
          <w:szCs w:val="24"/>
        </w:rPr>
        <w:t>činnost na základě pokynů správce</w:t>
      </w:r>
      <w:r w:rsidRPr="008D187C">
        <w:rPr>
          <w:szCs w:val="24"/>
        </w:rPr>
        <w:t xml:space="preserve"> – tato část dokumentu úzce souvisí s tou předchozí. Správce, který nese primární odpovědnost za zpracování osobních údajů, musí zavázat zpracovatele k dodržování pokynů a tyto pokyny musí být doložitelné. Nařízení zároveň stanoví zpracovateli povinnost informovat neprodleně správce v případě, že podle jeho názoru určitý pokyn porušuje toto nařízení nebo jiné předpisy Unie nebo členského státu týkající se ochrany údajů.</w:t>
      </w:r>
    </w:p>
    <w:p w:rsidR="00BD1647" w:rsidRPr="008D187C" w:rsidRDefault="00BD1647" w:rsidP="00BD1647">
      <w:pPr>
        <w:pStyle w:val="Odstavecseseznamem"/>
        <w:numPr>
          <w:ilvl w:val="0"/>
          <w:numId w:val="10"/>
        </w:numPr>
        <w:spacing w:after="40" w:line="240" w:lineRule="auto"/>
        <w:ind w:left="568" w:hanging="284"/>
        <w:contextualSpacing w:val="0"/>
        <w:jc w:val="both"/>
        <w:rPr>
          <w:szCs w:val="24"/>
        </w:rPr>
      </w:pPr>
      <w:r w:rsidRPr="008D187C">
        <w:rPr>
          <w:b/>
          <w:szCs w:val="24"/>
        </w:rPr>
        <w:t>závazek mlčenlivosti</w:t>
      </w:r>
      <w:r w:rsidRPr="008D187C">
        <w:rPr>
          <w:szCs w:val="24"/>
        </w:rPr>
        <w:t xml:space="preserve"> – článek 28 odst. 3 písm. b) Nařízení stanoví, že zpracovatel musí zajistit, aby se osoby oprávněné zpracovávat osobní údaje zavázaly k mlčenlivosti nebo aby se na ně vztahovala zákonná povinnost mlčenlivosti.</w:t>
      </w:r>
    </w:p>
    <w:p w:rsidR="00BD1647" w:rsidRPr="008D187C" w:rsidRDefault="00BD1647" w:rsidP="00BD1647">
      <w:pPr>
        <w:pStyle w:val="Odstavecseseznamem"/>
        <w:numPr>
          <w:ilvl w:val="0"/>
          <w:numId w:val="10"/>
        </w:numPr>
        <w:spacing w:after="40" w:line="240" w:lineRule="auto"/>
        <w:ind w:left="568" w:hanging="284"/>
        <w:contextualSpacing w:val="0"/>
        <w:jc w:val="both"/>
        <w:rPr>
          <w:szCs w:val="24"/>
        </w:rPr>
      </w:pPr>
      <w:r w:rsidRPr="008D187C">
        <w:rPr>
          <w:b/>
          <w:szCs w:val="24"/>
        </w:rPr>
        <w:t>povinnost údaje zabezpečit</w:t>
      </w:r>
      <w:r w:rsidRPr="008D187C">
        <w:rPr>
          <w:szCs w:val="24"/>
        </w:rPr>
        <w:t xml:space="preserve"> – povinnost zpracovávané osobní údaje zabezpečit se nevztahuje jen na správce, ale týká se i zpracovatele.</w:t>
      </w:r>
    </w:p>
    <w:p w:rsidR="00BD1647" w:rsidRPr="008D187C" w:rsidRDefault="00BD1647" w:rsidP="00BD1647">
      <w:pPr>
        <w:pStyle w:val="Odstavecseseznamem"/>
        <w:numPr>
          <w:ilvl w:val="0"/>
          <w:numId w:val="10"/>
        </w:numPr>
        <w:spacing w:after="40" w:line="240" w:lineRule="auto"/>
        <w:ind w:left="568" w:hanging="284"/>
        <w:contextualSpacing w:val="0"/>
        <w:jc w:val="both"/>
        <w:rPr>
          <w:szCs w:val="24"/>
        </w:rPr>
      </w:pPr>
      <w:r w:rsidRPr="008D187C">
        <w:rPr>
          <w:b/>
          <w:szCs w:val="24"/>
        </w:rPr>
        <w:t>zákaz řetězení zpracovatelů</w:t>
      </w:r>
      <w:r w:rsidRPr="008D187C">
        <w:rPr>
          <w:szCs w:val="24"/>
        </w:rPr>
        <w:t xml:space="preserve"> – zpracovatel musí dodržovat podmínky pro zapojení dalšího zpracovatele. Zpracovatel nezapojí do zpracování žádného dalšího zpracovatele bez předchozího konkrétního nebo obecného písemného povolení správce. </w:t>
      </w:r>
    </w:p>
    <w:p w:rsidR="00BD1647" w:rsidRPr="008D187C" w:rsidRDefault="00BD1647" w:rsidP="00BD1647">
      <w:pPr>
        <w:pStyle w:val="Odstavecseseznamem"/>
        <w:numPr>
          <w:ilvl w:val="0"/>
          <w:numId w:val="10"/>
        </w:numPr>
        <w:spacing w:after="40" w:line="240" w:lineRule="auto"/>
        <w:ind w:left="567" w:hanging="283"/>
        <w:contextualSpacing w:val="0"/>
        <w:jc w:val="both"/>
        <w:rPr>
          <w:szCs w:val="24"/>
        </w:rPr>
      </w:pPr>
      <w:r w:rsidRPr="008D187C">
        <w:rPr>
          <w:b/>
          <w:szCs w:val="24"/>
        </w:rPr>
        <w:t>součinnost zpracovatele</w:t>
      </w:r>
      <w:r w:rsidRPr="008D187C">
        <w:rPr>
          <w:szCs w:val="24"/>
        </w:rPr>
        <w:t xml:space="preserve"> </w:t>
      </w:r>
      <w:bookmarkEnd w:id="0"/>
      <w:r w:rsidRPr="008D187C">
        <w:rPr>
          <w:szCs w:val="24"/>
        </w:rPr>
        <w:t>– oblasti součinnosti jsou uvedeny v několika písmenech:</w:t>
      </w:r>
    </w:p>
    <w:p w:rsidR="00BD1647" w:rsidRPr="008D187C" w:rsidRDefault="00BD1647" w:rsidP="00BD1647">
      <w:pPr>
        <w:pStyle w:val="Odstavecseseznamem"/>
        <w:numPr>
          <w:ilvl w:val="1"/>
          <w:numId w:val="2"/>
        </w:numPr>
        <w:spacing w:after="40" w:line="240" w:lineRule="auto"/>
        <w:ind w:left="851" w:hanging="284"/>
        <w:contextualSpacing w:val="0"/>
        <w:jc w:val="both"/>
        <w:rPr>
          <w:szCs w:val="24"/>
        </w:rPr>
      </w:pPr>
      <w:r w:rsidRPr="008D187C">
        <w:rPr>
          <w:szCs w:val="24"/>
        </w:rPr>
        <w:lastRenderedPageBreak/>
        <w:t>je správci nápomocen prostřednictvím vhodných technických a organizačních opatření, pokud je to možné, pro splnění správcovy povinnosti reagovat na žádosti o výkon práv subjektu údajů;</w:t>
      </w:r>
    </w:p>
    <w:p w:rsidR="00BD1647" w:rsidRPr="008D187C" w:rsidRDefault="00BD1647" w:rsidP="00BD1647">
      <w:pPr>
        <w:pStyle w:val="Odstavecseseznamem"/>
        <w:numPr>
          <w:ilvl w:val="1"/>
          <w:numId w:val="2"/>
        </w:numPr>
        <w:spacing w:after="40" w:line="240" w:lineRule="auto"/>
        <w:ind w:left="851" w:hanging="284"/>
        <w:contextualSpacing w:val="0"/>
        <w:jc w:val="both"/>
        <w:rPr>
          <w:szCs w:val="24"/>
        </w:rPr>
      </w:pPr>
      <w:r w:rsidRPr="008D187C">
        <w:rPr>
          <w:szCs w:val="24"/>
        </w:rPr>
        <w:t xml:space="preserve">je správci nápomocen při zajišťování souladu s povinnostmi týkajícími </w:t>
      </w:r>
      <w:proofErr w:type="gramStart"/>
      <w:r w:rsidRPr="008D187C">
        <w:rPr>
          <w:szCs w:val="24"/>
        </w:rPr>
        <w:t>se</w:t>
      </w:r>
      <w:proofErr w:type="gramEnd"/>
      <w:r w:rsidRPr="008D187C">
        <w:rPr>
          <w:szCs w:val="24"/>
        </w:rPr>
        <w:t xml:space="preserve"> zabezpečení osobních údajů;</w:t>
      </w:r>
    </w:p>
    <w:p w:rsidR="00BD1647" w:rsidRPr="008D187C" w:rsidRDefault="00BD1647" w:rsidP="00BD1647">
      <w:pPr>
        <w:pStyle w:val="Odstavecseseznamem"/>
        <w:numPr>
          <w:ilvl w:val="1"/>
          <w:numId w:val="2"/>
        </w:numPr>
        <w:spacing w:after="40" w:line="240" w:lineRule="auto"/>
        <w:ind w:left="851" w:hanging="284"/>
        <w:contextualSpacing w:val="0"/>
        <w:jc w:val="both"/>
        <w:rPr>
          <w:szCs w:val="24"/>
        </w:rPr>
      </w:pPr>
      <w:r w:rsidRPr="008D187C">
        <w:rPr>
          <w:szCs w:val="24"/>
        </w:rPr>
        <w:t>v souladu s rozhodnutím správce všechny osobní údaje buď vymaže, nebo je vrátí správci po ukončení poskytování služeb spojených se zpracováním, a vymaže existující kopie;</w:t>
      </w:r>
    </w:p>
    <w:p w:rsidR="00BD1647" w:rsidRPr="008D187C" w:rsidRDefault="00BD1647" w:rsidP="00BD1647">
      <w:pPr>
        <w:pStyle w:val="Odstavecseseznamem"/>
        <w:numPr>
          <w:ilvl w:val="1"/>
          <w:numId w:val="2"/>
        </w:numPr>
        <w:spacing w:after="80" w:line="240" w:lineRule="auto"/>
        <w:ind w:left="851" w:hanging="284"/>
        <w:contextualSpacing w:val="0"/>
        <w:jc w:val="both"/>
        <w:rPr>
          <w:szCs w:val="24"/>
        </w:rPr>
      </w:pPr>
      <w:r w:rsidRPr="008D187C">
        <w:rPr>
          <w:szCs w:val="24"/>
        </w:rPr>
        <w:t xml:space="preserve">poskytne správci veškeré informace potřebné k doložení toho, že byly splněny povinnosti stanovené Nařízením, a umožní audity, včetně inspekcí, prováděné správcem nebo jiným auditorem, kterého správce pověřil. </w:t>
      </w:r>
    </w:p>
    <w:p w:rsidR="00BD1647" w:rsidRPr="008D187C" w:rsidRDefault="00BD1647" w:rsidP="00BD1647">
      <w:pPr>
        <w:spacing w:after="120"/>
        <w:ind w:left="284"/>
        <w:jc w:val="both"/>
        <w:rPr>
          <w:b/>
        </w:rPr>
      </w:pPr>
      <w:r w:rsidRPr="008D187C">
        <w:rPr>
          <w:b/>
        </w:rPr>
        <w:t xml:space="preserve">Každý správce, který má zpracovatele, tak bude muset zrevidovat smlouvy uzavřené s těmito zpracovateli a případně uzavřít dodatky, které zahrnou všechny požadavky nařízení. </w:t>
      </w:r>
    </w:p>
    <w:p w:rsidR="00BD1647" w:rsidRPr="008D187C" w:rsidRDefault="00BD1647" w:rsidP="00BD1647">
      <w:pPr>
        <w:pStyle w:val="Odstavecseseznamem"/>
        <w:numPr>
          <w:ilvl w:val="1"/>
          <w:numId w:val="8"/>
        </w:numPr>
        <w:spacing w:after="80" w:line="240" w:lineRule="auto"/>
        <w:ind w:left="284" w:hanging="284"/>
        <w:contextualSpacing w:val="0"/>
        <w:jc w:val="both"/>
        <w:rPr>
          <w:szCs w:val="24"/>
        </w:rPr>
      </w:pPr>
      <w:r w:rsidRPr="008D187C">
        <w:rPr>
          <w:szCs w:val="24"/>
        </w:rPr>
        <w:t xml:space="preserve"> </w:t>
      </w:r>
      <w:r w:rsidRPr="008D187C">
        <w:rPr>
          <w:b/>
          <w:szCs w:val="24"/>
          <w:u w:val="single"/>
        </w:rPr>
        <w:t>Úprava bezpečnostní dokumentace, nastavení bezpečnostní politiky, vytvoření seznamu rizik, proškolení zaměstnanců.</w:t>
      </w:r>
    </w:p>
    <w:p w:rsidR="00BD1647" w:rsidRPr="008D187C" w:rsidRDefault="00BD1647" w:rsidP="00BD1647">
      <w:pPr>
        <w:spacing w:after="40"/>
        <w:ind w:left="284"/>
        <w:jc w:val="both"/>
        <w:rPr>
          <w:iCs/>
        </w:rPr>
      </w:pPr>
      <w:bookmarkStart w:id="1" w:name="_Hlk504987232"/>
      <w:r w:rsidRPr="008D187C">
        <w:rPr>
          <w:iCs/>
        </w:rPr>
        <w:t>Při posuzování vhodné úrovně bezpečnosti se zohlední zejména rizika:</w:t>
      </w:r>
    </w:p>
    <w:p w:rsidR="00BD1647" w:rsidRPr="008D187C" w:rsidRDefault="00BD1647" w:rsidP="00BD1647">
      <w:pPr>
        <w:pStyle w:val="Odstavecseseznamem"/>
        <w:numPr>
          <w:ilvl w:val="0"/>
          <w:numId w:val="10"/>
        </w:numPr>
        <w:spacing w:after="40" w:line="240" w:lineRule="auto"/>
        <w:ind w:left="567" w:hanging="283"/>
        <w:contextualSpacing w:val="0"/>
        <w:jc w:val="both"/>
        <w:rPr>
          <w:iCs/>
          <w:szCs w:val="24"/>
        </w:rPr>
      </w:pPr>
      <w:r w:rsidRPr="008D187C">
        <w:rPr>
          <w:iCs/>
          <w:szCs w:val="24"/>
        </w:rPr>
        <w:t xml:space="preserve">náhodné nebo protiprávní </w:t>
      </w:r>
      <w:proofErr w:type="gramStart"/>
      <w:r w:rsidRPr="008D187C">
        <w:rPr>
          <w:iCs/>
          <w:szCs w:val="24"/>
        </w:rPr>
        <w:t>zničení - jde</w:t>
      </w:r>
      <w:proofErr w:type="gramEnd"/>
      <w:r w:rsidRPr="008D187C">
        <w:rPr>
          <w:iCs/>
          <w:szCs w:val="24"/>
        </w:rPr>
        <w:t xml:space="preserve"> o případ, kdy údaje už neexistují vůbec nebo přinejmenším ne v podobě, aby byly správci k užitku, </w:t>
      </w:r>
    </w:p>
    <w:p w:rsidR="00BD1647" w:rsidRPr="008D187C" w:rsidRDefault="00BD1647" w:rsidP="00BD1647">
      <w:pPr>
        <w:pStyle w:val="Odstavecseseznamem"/>
        <w:numPr>
          <w:ilvl w:val="0"/>
          <w:numId w:val="10"/>
        </w:numPr>
        <w:spacing w:after="40" w:line="240" w:lineRule="auto"/>
        <w:ind w:left="567" w:hanging="283"/>
        <w:contextualSpacing w:val="0"/>
        <w:jc w:val="both"/>
        <w:rPr>
          <w:iCs/>
          <w:szCs w:val="24"/>
        </w:rPr>
      </w:pPr>
      <w:r w:rsidRPr="008D187C">
        <w:rPr>
          <w:iCs/>
          <w:szCs w:val="24"/>
        </w:rPr>
        <w:t>ztráta – v případě ztráty data stále existují, nicméně správce nad nimi ztratil kontrolu nebo přístup k nim, nebo je už nemá v držení.</w:t>
      </w:r>
    </w:p>
    <w:p w:rsidR="00BD1647" w:rsidRPr="008D187C" w:rsidRDefault="00BD1647" w:rsidP="00BD1647">
      <w:pPr>
        <w:pStyle w:val="Odstavecseseznamem"/>
        <w:numPr>
          <w:ilvl w:val="0"/>
          <w:numId w:val="10"/>
        </w:numPr>
        <w:spacing w:after="80" w:line="240" w:lineRule="auto"/>
        <w:ind w:left="568" w:hanging="284"/>
        <w:contextualSpacing w:val="0"/>
        <w:jc w:val="both"/>
        <w:rPr>
          <w:iCs/>
          <w:szCs w:val="24"/>
        </w:rPr>
      </w:pPr>
      <w:r w:rsidRPr="008D187C">
        <w:rPr>
          <w:iCs/>
          <w:szCs w:val="24"/>
        </w:rPr>
        <w:t xml:space="preserve">pozměňování, neoprávněné zpřístupnění předávaných, uložených nebo jinak zpracovávaných osobních údajů, nebo neoprávněný přístup k nim (článek 32 odst. 2 Nařízení) – tato kategorie zahrnuje především situace, kdy k osobním údajům získají přístup osoby, které k tomu nemají oprávnění. </w:t>
      </w:r>
    </w:p>
    <w:bookmarkEnd w:id="1"/>
    <w:p w:rsidR="00BD1647" w:rsidRPr="008D187C" w:rsidRDefault="00BD1647" w:rsidP="00BD1647">
      <w:pPr>
        <w:spacing w:after="80"/>
        <w:ind w:left="284"/>
        <w:jc w:val="both"/>
        <w:rPr>
          <w:iCs/>
        </w:rPr>
      </w:pPr>
      <w:r w:rsidRPr="008D187C">
        <w:rPr>
          <w:iCs/>
        </w:rPr>
        <w:t>Posouzení by nemělo být jednorázovým procesem, nýbrž by se mělo jednat o pravidelný proces vyhodnocování vnitřních i vnějších okolností, které mohou mít na míru rizika vliv.</w:t>
      </w:r>
    </w:p>
    <w:p w:rsidR="00BD1647" w:rsidRPr="008D187C" w:rsidRDefault="00BD1647" w:rsidP="00BD1647">
      <w:pPr>
        <w:spacing w:after="120"/>
        <w:ind w:left="284"/>
        <w:jc w:val="both"/>
      </w:pPr>
      <w:r w:rsidRPr="008D187C">
        <w:t>Je nutné také vypracovat bezpečnostní dokumentaci, postačí jednoduchý dokument zachycující zavedená bezpečnostní opatření, případně pokyny zaměstnancům.</w:t>
      </w:r>
    </w:p>
    <w:p w:rsidR="00BD1647" w:rsidRPr="008D187C" w:rsidRDefault="00BD1647" w:rsidP="00BD1647">
      <w:pPr>
        <w:spacing w:after="80"/>
        <w:jc w:val="both"/>
        <w:rPr>
          <w:u w:val="single"/>
        </w:rPr>
      </w:pPr>
      <w:r w:rsidRPr="008D187C">
        <w:rPr>
          <w:u w:val="single"/>
        </w:rPr>
        <w:t>Personální bezpečnost</w:t>
      </w:r>
    </w:p>
    <w:p w:rsidR="00BD1647" w:rsidRPr="008D187C" w:rsidRDefault="00BD1647" w:rsidP="00BD1647">
      <w:pPr>
        <w:spacing w:after="120"/>
        <w:jc w:val="both"/>
        <w:rPr>
          <w:strike/>
        </w:rPr>
      </w:pPr>
      <w:r w:rsidRPr="008D187C">
        <w:t xml:space="preserve">Cílem personální bezpečnosti je především snížit rizika spojená se zneužitím informací a prostředků, které tyto informace zpracovávají. </w:t>
      </w:r>
    </w:p>
    <w:p w:rsidR="00BD1647" w:rsidRPr="008D187C" w:rsidRDefault="00BD1647" w:rsidP="00BD1647">
      <w:pPr>
        <w:spacing w:after="80"/>
        <w:jc w:val="both"/>
        <w:rPr>
          <w:u w:val="single"/>
        </w:rPr>
      </w:pPr>
      <w:r w:rsidRPr="008D187C">
        <w:rPr>
          <w:u w:val="single"/>
        </w:rPr>
        <w:t>Objektová bezpečnost</w:t>
      </w:r>
    </w:p>
    <w:p w:rsidR="00BD1647" w:rsidRPr="008D187C" w:rsidRDefault="00BD1647" w:rsidP="00BD1647">
      <w:pPr>
        <w:spacing w:after="40"/>
        <w:jc w:val="both"/>
      </w:pPr>
      <w:r w:rsidRPr="008D187C">
        <w:t>Jsou definována režimová opatření pro provoz v budově, a to:</w:t>
      </w:r>
    </w:p>
    <w:p w:rsidR="00BD1647" w:rsidRPr="008D187C" w:rsidRDefault="00BD1647" w:rsidP="00BD1647">
      <w:pPr>
        <w:spacing w:after="40"/>
        <w:jc w:val="both"/>
        <w:rPr>
          <w:i/>
        </w:rPr>
      </w:pPr>
      <w:r w:rsidRPr="008D187C">
        <w:t xml:space="preserve">……….. </w:t>
      </w:r>
      <w:r w:rsidRPr="008D187C">
        <w:rPr>
          <w:i/>
        </w:rPr>
        <w:t>zde</w:t>
      </w:r>
      <w:r w:rsidRPr="008D187C">
        <w:t xml:space="preserve"> </w:t>
      </w:r>
      <w:r w:rsidRPr="008D187C">
        <w:rPr>
          <w:i/>
        </w:rPr>
        <w:t>specifikovat objekt</w:t>
      </w:r>
    </w:p>
    <w:p w:rsidR="00BD1647" w:rsidRPr="008D187C" w:rsidRDefault="00BD1647" w:rsidP="00BD1647">
      <w:pPr>
        <w:spacing w:after="80"/>
        <w:rPr>
          <w:highlight w:val="black"/>
        </w:rPr>
      </w:pPr>
      <w:r w:rsidRPr="008D187C">
        <w:t>Zaměstnanci, zacházející s písemnostmi, obsahujícími osobní údaje, mají dostatek uzamykatelných úložných prostor pro ukládání těchto dokumentů, která jsou povinni aktivně využívat.</w:t>
      </w:r>
    </w:p>
    <w:p w:rsidR="00BD1647" w:rsidRPr="008D187C" w:rsidRDefault="00BD1647" w:rsidP="00BD1647">
      <w:pPr>
        <w:spacing w:after="40"/>
        <w:jc w:val="both"/>
      </w:pPr>
      <w:r w:rsidRPr="008D187C">
        <w:t>V organizaci je stanoven klíčový režim (tzn. klíče, přidělené zaměstnancům, jsou evidovány). Duplikáty klíčů jsou uloženy v trezoru nebo uzamykatelné skříňce.</w:t>
      </w:r>
    </w:p>
    <w:p w:rsidR="00BD1647" w:rsidRPr="008D187C" w:rsidRDefault="00BD1647" w:rsidP="00BD1647">
      <w:pPr>
        <w:spacing w:after="120"/>
        <w:jc w:val="both"/>
      </w:pPr>
      <w:r w:rsidRPr="008D187C">
        <w:t>Úklid prostor organizace je prováděn vlastními zaměstnanci.</w:t>
      </w:r>
    </w:p>
    <w:p w:rsidR="00BD1647" w:rsidRPr="008D187C" w:rsidRDefault="00BD1647" w:rsidP="00BD1647">
      <w:pPr>
        <w:spacing w:after="80"/>
        <w:jc w:val="both"/>
        <w:rPr>
          <w:u w:val="single"/>
        </w:rPr>
      </w:pPr>
      <w:r w:rsidRPr="008D187C">
        <w:rPr>
          <w:u w:val="single"/>
        </w:rPr>
        <w:t>IT bezpečnost</w:t>
      </w:r>
    </w:p>
    <w:p w:rsidR="00BD1647" w:rsidRPr="008D187C" w:rsidRDefault="00BD1647" w:rsidP="00BD1647">
      <w:pPr>
        <w:spacing w:after="40"/>
        <w:jc w:val="both"/>
      </w:pPr>
      <w:r w:rsidRPr="008D187C">
        <w:t>Uživatelé jsou povinni udržovat svá hesla v naprosté tajnosti a nakládat s nimi tak, aby nemohlo jejich prozrazením dojít ke zneužití uživatelských účtů neoprávněným vstupem do systému jinou osobou. Tato povinnost představuje zejména:</w:t>
      </w:r>
    </w:p>
    <w:p w:rsidR="00BD1647" w:rsidRPr="008D187C" w:rsidRDefault="00BD1647" w:rsidP="00BD1647">
      <w:pPr>
        <w:pStyle w:val="Odstavecseseznamem"/>
        <w:numPr>
          <w:ilvl w:val="0"/>
          <w:numId w:val="2"/>
        </w:numPr>
        <w:tabs>
          <w:tab w:val="clear" w:pos="720"/>
        </w:tabs>
        <w:spacing w:after="40" w:line="240" w:lineRule="auto"/>
        <w:ind w:left="284" w:hanging="284"/>
        <w:contextualSpacing w:val="0"/>
        <w:jc w:val="both"/>
        <w:rPr>
          <w:szCs w:val="24"/>
        </w:rPr>
      </w:pPr>
      <w:r w:rsidRPr="008D187C">
        <w:rPr>
          <w:szCs w:val="24"/>
        </w:rPr>
        <w:t>nezaznamenávat hesla v čitelné formě např. na papír, do souborů nebo do mobilních výpočetních prostředků, pokud není uložení provedeno schváleným bezpečným způsobem,</w:t>
      </w:r>
    </w:p>
    <w:p w:rsidR="00BD1647" w:rsidRPr="008D187C" w:rsidRDefault="00BD1647" w:rsidP="00BD1647">
      <w:pPr>
        <w:pStyle w:val="Odstavecseseznamem"/>
        <w:numPr>
          <w:ilvl w:val="0"/>
          <w:numId w:val="2"/>
        </w:numPr>
        <w:tabs>
          <w:tab w:val="clear" w:pos="720"/>
        </w:tabs>
        <w:spacing w:after="40" w:line="240" w:lineRule="auto"/>
        <w:ind w:left="284" w:hanging="284"/>
        <w:contextualSpacing w:val="0"/>
        <w:jc w:val="both"/>
        <w:rPr>
          <w:szCs w:val="24"/>
        </w:rPr>
      </w:pPr>
      <w:r w:rsidRPr="008D187C">
        <w:rPr>
          <w:szCs w:val="24"/>
        </w:rPr>
        <w:lastRenderedPageBreak/>
        <w:t>neprozrazovat hesla žádné další osobě,</w:t>
      </w:r>
    </w:p>
    <w:p w:rsidR="00BD1647" w:rsidRPr="008D187C" w:rsidRDefault="00BD1647" w:rsidP="00BD1647">
      <w:pPr>
        <w:pStyle w:val="Odstavecseseznamem"/>
        <w:numPr>
          <w:ilvl w:val="0"/>
          <w:numId w:val="2"/>
        </w:numPr>
        <w:tabs>
          <w:tab w:val="clear" w:pos="720"/>
        </w:tabs>
        <w:spacing w:after="80" w:line="240" w:lineRule="auto"/>
        <w:ind w:left="284" w:hanging="284"/>
        <w:contextualSpacing w:val="0"/>
        <w:jc w:val="both"/>
        <w:rPr>
          <w:szCs w:val="24"/>
        </w:rPr>
      </w:pPr>
      <w:r w:rsidRPr="008D187C">
        <w:rPr>
          <w:szCs w:val="24"/>
        </w:rPr>
        <w:t>nezadávat hesla v případech, může-li dojít k jejich odpozorování.</w:t>
      </w:r>
    </w:p>
    <w:p w:rsidR="00BD1647" w:rsidRPr="008D187C" w:rsidRDefault="00BD1647" w:rsidP="00BD1647">
      <w:pPr>
        <w:spacing w:after="80"/>
        <w:jc w:val="both"/>
      </w:pPr>
      <w:r w:rsidRPr="008D187C">
        <w:t>V případě prozrazení nebo podezření na kompromitaci hesla je uživatel povinen heslo okamžitě změnit.</w:t>
      </w:r>
    </w:p>
    <w:p w:rsidR="00BD1647" w:rsidRPr="008D187C" w:rsidRDefault="00BD1647" w:rsidP="00BD1647">
      <w:pPr>
        <w:spacing w:after="80"/>
        <w:jc w:val="both"/>
      </w:pPr>
      <w:r w:rsidRPr="008D187C">
        <w:t xml:space="preserve">V případě zapomenutí hesla nebo vypršení jeho platnosti musí uživatel požádat o přidělení nového hesla. </w:t>
      </w:r>
    </w:p>
    <w:p w:rsidR="00BD1647" w:rsidRPr="008D187C" w:rsidRDefault="00BD1647" w:rsidP="00BD1647">
      <w:pPr>
        <w:spacing w:after="40"/>
        <w:jc w:val="both"/>
      </w:pPr>
      <w:r w:rsidRPr="008D187C">
        <w:t>Uživatelská hesla by měla splňovat následující předpoklady:</w:t>
      </w:r>
    </w:p>
    <w:p w:rsidR="00BD1647" w:rsidRPr="008D187C" w:rsidRDefault="00BD1647" w:rsidP="00BD1647">
      <w:pPr>
        <w:pStyle w:val="Odstavecseseznamem"/>
        <w:numPr>
          <w:ilvl w:val="2"/>
          <w:numId w:val="8"/>
        </w:numPr>
        <w:spacing w:after="40" w:line="240" w:lineRule="auto"/>
        <w:ind w:left="284" w:hanging="284"/>
        <w:contextualSpacing w:val="0"/>
        <w:jc w:val="both"/>
        <w:rPr>
          <w:szCs w:val="24"/>
        </w:rPr>
      </w:pPr>
      <w:r w:rsidRPr="008D187C">
        <w:rPr>
          <w:szCs w:val="24"/>
        </w:rPr>
        <w:t>budou snadno zapamatovatelná,</w:t>
      </w:r>
    </w:p>
    <w:p w:rsidR="00BD1647" w:rsidRPr="008D187C" w:rsidRDefault="00BD1647" w:rsidP="00BD1647">
      <w:pPr>
        <w:pStyle w:val="Odstavecseseznamem"/>
        <w:numPr>
          <w:ilvl w:val="2"/>
          <w:numId w:val="8"/>
        </w:numPr>
        <w:spacing w:after="40" w:line="240" w:lineRule="auto"/>
        <w:ind w:left="284" w:hanging="284"/>
        <w:contextualSpacing w:val="0"/>
        <w:jc w:val="both"/>
        <w:rPr>
          <w:szCs w:val="24"/>
        </w:rPr>
      </w:pPr>
      <w:r w:rsidRPr="008D187C">
        <w:rPr>
          <w:szCs w:val="24"/>
        </w:rPr>
        <w:t>nebudou založena na skutečnostech, které může někdo snadno odhadnout nebo je získat z osobních informací uživatelů, např. jméno, příjmení, telefonní číslo, datum narození, oblíbená barva, film apod.,</w:t>
      </w:r>
    </w:p>
    <w:p w:rsidR="00BD1647" w:rsidRPr="008D187C" w:rsidRDefault="00BD1647" w:rsidP="00BD1647">
      <w:pPr>
        <w:pStyle w:val="Odstavecseseznamem"/>
        <w:numPr>
          <w:ilvl w:val="2"/>
          <w:numId w:val="8"/>
        </w:numPr>
        <w:spacing w:after="80" w:line="240" w:lineRule="auto"/>
        <w:ind w:left="284" w:hanging="284"/>
        <w:contextualSpacing w:val="0"/>
        <w:jc w:val="both"/>
        <w:rPr>
          <w:szCs w:val="24"/>
        </w:rPr>
      </w:pPr>
      <w:r w:rsidRPr="008D187C">
        <w:rPr>
          <w:szCs w:val="24"/>
        </w:rPr>
        <w:t>nebudou obsahovat po sobě jdoucí stejné numerické nebo číselné znaky.</w:t>
      </w:r>
    </w:p>
    <w:p w:rsidR="00BD1647" w:rsidRPr="008D187C" w:rsidRDefault="00BD1647" w:rsidP="00BD1647">
      <w:pPr>
        <w:spacing w:after="40"/>
        <w:jc w:val="both"/>
      </w:pPr>
      <w:r w:rsidRPr="008D187C">
        <w:t>Uživatel je povinen vytvářet kvalitní, silná (obtížně uhodnutelná) hesla a při jejich vytváření dodržovat následující pravidla:</w:t>
      </w:r>
    </w:p>
    <w:p w:rsidR="00BD1647" w:rsidRPr="008D187C" w:rsidRDefault="00BD1647" w:rsidP="00BD1647">
      <w:pPr>
        <w:pStyle w:val="Odstavecseseznamem"/>
        <w:numPr>
          <w:ilvl w:val="0"/>
          <w:numId w:val="11"/>
        </w:numPr>
        <w:spacing w:after="40" w:line="240" w:lineRule="auto"/>
        <w:ind w:left="284" w:hanging="284"/>
        <w:contextualSpacing w:val="0"/>
        <w:jc w:val="both"/>
        <w:rPr>
          <w:szCs w:val="24"/>
        </w:rPr>
      </w:pPr>
      <w:r w:rsidRPr="008D187C">
        <w:rPr>
          <w:szCs w:val="24"/>
        </w:rPr>
        <w:t>minimální délka hesla je 8 znaků,</w:t>
      </w:r>
    </w:p>
    <w:p w:rsidR="00BD1647" w:rsidRPr="008D187C" w:rsidRDefault="00BD1647" w:rsidP="00BD1647">
      <w:pPr>
        <w:pStyle w:val="Odstavecseseznamem"/>
        <w:numPr>
          <w:ilvl w:val="0"/>
          <w:numId w:val="11"/>
        </w:numPr>
        <w:spacing w:after="40" w:line="240" w:lineRule="auto"/>
        <w:ind w:left="284" w:hanging="284"/>
        <w:contextualSpacing w:val="0"/>
        <w:jc w:val="both"/>
        <w:rPr>
          <w:szCs w:val="24"/>
        </w:rPr>
      </w:pPr>
      <w:r w:rsidRPr="008D187C">
        <w:rPr>
          <w:szCs w:val="24"/>
        </w:rPr>
        <w:t>při tvorbě hesla je povinné použít:</w:t>
      </w:r>
    </w:p>
    <w:p w:rsidR="00BD1647" w:rsidRPr="008D187C" w:rsidRDefault="00BD1647" w:rsidP="00BD1647">
      <w:pPr>
        <w:pStyle w:val="Odstavecseseznamem"/>
        <w:numPr>
          <w:ilvl w:val="0"/>
          <w:numId w:val="5"/>
        </w:numPr>
        <w:spacing w:after="40" w:line="240" w:lineRule="auto"/>
        <w:ind w:left="567" w:hanging="284"/>
        <w:contextualSpacing w:val="0"/>
        <w:jc w:val="both"/>
        <w:rPr>
          <w:szCs w:val="24"/>
        </w:rPr>
      </w:pPr>
      <w:r w:rsidRPr="008D187C">
        <w:rPr>
          <w:szCs w:val="24"/>
        </w:rPr>
        <w:t>alespoň jedno malé písmeno (a-z),</w:t>
      </w:r>
    </w:p>
    <w:p w:rsidR="00BD1647" w:rsidRPr="008D187C" w:rsidRDefault="00BD1647" w:rsidP="00BD1647">
      <w:pPr>
        <w:pStyle w:val="Odstavecseseznamem"/>
        <w:numPr>
          <w:ilvl w:val="0"/>
          <w:numId w:val="5"/>
        </w:numPr>
        <w:spacing w:after="40" w:line="240" w:lineRule="auto"/>
        <w:ind w:left="567" w:hanging="284"/>
        <w:contextualSpacing w:val="0"/>
        <w:jc w:val="both"/>
        <w:rPr>
          <w:szCs w:val="24"/>
        </w:rPr>
      </w:pPr>
      <w:r w:rsidRPr="008D187C">
        <w:rPr>
          <w:szCs w:val="24"/>
        </w:rPr>
        <w:t>alespoň jedno velké písmeno (A-Z),</w:t>
      </w:r>
    </w:p>
    <w:p w:rsidR="00BD1647" w:rsidRPr="008D187C" w:rsidRDefault="00BD1647" w:rsidP="00BD1647">
      <w:pPr>
        <w:pStyle w:val="Odstavecseseznamem"/>
        <w:numPr>
          <w:ilvl w:val="0"/>
          <w:numId w:val="5"/>
        </w:numPr>
        <w:spacing w:after="40" w:line="240" w:lineRule="auto"/>
        <w:ind w:left="567" w:hanging="284"/>
        <w:contextualSpacing w:val="0"/>
        <w:jc w:val="both"/>
        <w:rPr>
          <w:szCs w:val="24"/>
        </w:rPr>
      </w:pPr>
      <w:r w:rsidRPr="008D187C">
        <w:rPr>
          <w:szCs w:val="24"/>
        </w:rPr>
        <w:t>alespoň jednu číslici (0-9),</w:t>
      </w:r>
    </w:p>
    <w:p w:rsidR="00BD1647" w:rsidRPr="008D187C" w:rsidRDefault="00BD1647" w:rsidP="00BD1647">
      <w:pPr>
        <w:pStyle w:val="Odstavecseseznamem"/>
        <w:numPr>
          <w:ilvl w:val="0"/>
          <w:numId w:val="5"/>
        </w:numPr>
        <w:spacing w:after="40" w:line="240" w:lineRule="auto"/>
        <w:ind w:left="567" w:hanging="284"/>
        <w:contextualSpacing w:val="0"/>
        <w:jc w:val="both"/>
        <w:rPr>
          <w:szCs w:val="24"/>
        </w:rPr>
      </w:pPr>
      <w:r w:rsidRPr="008D187C">
        <w:rPr>
          <w:szCs w:val="24"/>
        </w:rPr>
        <w:t>alespoň jeden speciální znak (</w:t>
      </w:r>
      <w:proofErr w:type="gramStart"/>
      <w:r w:rsidRPr="008D187C">
        <w:rPr>
          <w:szCs w:val="24"/>
        </w:rPr>
        <w:t>např. !</w:t>
      </w:r>
      <w:proofErr w:type="gramEnd"/>
      <w:r w:rsidRPr="008D187C">
        <w:rPr>
          <w:szCs w:val="24"/>
        </w:rPr>
        <w:t>@#$%&amp;*.-+),</w:t>
      </w:r>
    </w:p>
    <w:p w:rsidR="00BD1647" w:rsidRPr="008D187C" w:rsidRDefault="00BD1647" w:rsidP="00BD1647">
      <w:pPr>
        <w:pStyle w:val="Odstavecseseznamem"/>
        <w:numPr>
          <w:ilvl w:val="0"/>
          <w:numId w:val="5"/>
        </w:numPr>
        <w:spacing w:after="80" w:line="240" w:lineRule="auto"/>
        <w:ind w:left="568" w:hanging="284"/>
        <w:contextualSpacing w:val="0"/>
        <w:jc w:val="both"/>
        <w:rPr>
          <w:szCs w:val="24"/>
        </w:rPr>
      </w:pPr>
      <w:r w:rsidRPr="008D187C">
        <w:rPr>
          <w:szCs w:val="24"/>
        </w:rPr>
        <w:t>není možné vytvářet jednoduchá hesla typu 12345Abc+, Abcdef12+ apod.</w:t>
      </w:r>
    </w:p>
    <w:p w:rsidR="00BD1647" w:rsidRPr="008D187C" w:rsidRDefault="00BD1647" w:rsidP="00BD1647">
      <w:pPr>
        <w:spacing w:after="80"/>
        <w:jc w:val="both"/>
      </w:pPr>
      <w:r w:rsidRPr="008D187C">
        <w:t>Heslem nesmí být jméno nebo příjmení uživatele ani uživatelské jméno účtu uživatele, jména rodinných příslušníků, jména měst, známých osobností a další obecně známá, jména a slovníkové výrazy a rovněž ani měsíc roku, den týdne, data narození apod.</w:t>
      </w:r>
    </w:p>
    <w:p w:rsidR="00BD1647" w:rsidRPr="008D187C" w:rsidRDefault="00BD1647" w:rsidP="00BD1647">
      <w:pPr>
        <w:spacing w:after="80"/>
        <w:jc w:val="both"/>
      </w:pPr>
      <w:r w:rsidRPr="008D187C">
        <w:t xml:space="preserve">Uživatel je povinen pravidelně, minimálně jednou za 90 dní, měnit svá hesla. Doba platnosti hesla je omezena na 90 dnů a po uplynutí této lhůty je změna hesla vynucena operačním systémem. </w:t>
      </w:r>
    </w:p>
    <w:p w:rsidR="00BD1647" w:rsidRPr="008D187C" w:rsidRDefault="00BD1647" w:rsidP="00BD1647">
      <w:pPr>
        <w:spacing w:after="80"/>
        <w:jc w:val="both"/>
      </w:pPr>
      <w:r w:rsidRPr="008D187C">
        <w:t>Při změně hesla nesmí uživatel použít opakovaně stejné heslo.</w:t>
      </w:r>
    </w:p>
    <w:p w:rsidR="00BD1647" w:rsidRPr="008D187C" w:rsidRDefault="00BD1647" w:rsidP="00BD1647">
      <w:pPr>
        <w:spacing w:after="80"/>
        <w:jc w:val="both"/>
      </w:pPr>
      <w:r w:rsidRPr="008D187C">
        <w:t>Uživatelé nesmí začleňovat (ukládat) svá hesla do jakýchkoliv automatizovaných přihlášení.</w:t>
      </w:r>
    </w:p>
    <w:p w:rsidR="00BD1647" w:rsidRPr="008D187C" w:rsidRDefault="00BD1647" w:rsidP="00BD1647">
      <w:pPr>
        <w:spacing w:after="80"/>
        <w:jc w:val="both"/>
      </w:pPr>
      <w:r w:rsidRPr="008D187C">
        <w:t>Uživatelé nesmí sdílet individuálně přidělená hesla.</w:t>
      </w:r>
    </w:p>
    <w:p w:rsidR="00BD1647" w:rsidRPr="008D187C" w:rsidRDefault="00BD1647" w:rsidP="00BD1647">
      <w:pPr>
        <w:spacing w:after="80"/>
        <w:jc w:val="both"/>
      </w:pPr>
      <w:r w:rsidRPr="008D187C">
        <w:t>Uživatelé nesmí používat stejná hesla pro různé systémy (zejména nepoužívat stejná hesla jako v soukromé činnosti).</w:t>
      </w:r>
    </w:p>
    <w:p w:rsidR="00BD1647" w:rsidRPr="008D187C" w:rsidRDefault="00BD1647" w:rsidP="00BD1647">
      <w:pPr>
        <w:spacing w:after="80"/>
        <w:jc w:val="both"/>
      </w:pPr>
      <w:r w:rsidRPr="008D187C">
        <w:t xml:space="preserve">Uživatelé jsou povinni v rámci ochrany informací zajistit přiměřenou ochranu a zabezpečení používaných zařízení v případě své nepřítomnosti (neobsluhovaných zařízení) před neautorizovaným přístupem. </w:t>
      </w:r>
    </w:p>
    <w:p w:rsidR="00BD1647" w:rsidRPr="008D187C" w:rsidRDefault="00BD1647" w:rsidP="00BD1647">
      <w:pPr>
        <w:spacing w:after="80"/>
        <w:jc w:val="both"/>
      </w:pPr>
      <w:r w:rsidRPr="008D187C">
        <w:t>Uživatelé jsou povinni zajistit ochranu svých pracovních notebooků nebo jiných zařízení pro zpracování informací tak, aby nemohlo dojít k jejich zneužití jiným zaměstnancem nebo cizí neoprávněnou osobou.</w:t>
      </w:r>
    </w:p>
    <w:p w:rsidR="00BD1647" w:rsidRPr="008D187C" w:rsidRDefault="00BD1647" w:rsidP="00BD1647">
      <w:pPr>
        <w:spacing w:after="80"/>
        <w:jc w:val="both"/>
      </w:pPr>
      <w:r w:rsidRPr="008D187C">
        <w:t xml:space="preserve"> Uživatelé nesmí nechat bez dozoru aktivní pracovní stanice a notebooky nebo jiná zařízení pro zpracování informací.</w:t>
      </w:r>
    </w:p>
    <w:p w:rsidR="00BD1647" w:rsidRPr="008D187C" w:rsidRDefault="00BD1647" w:rsidP="00BD1647">
      <w:pPr>
        <w:spacing w:after="80"/>
        <w:jc w:val="both"/>
      </w:pPr>
      <w:r w:rsidRPr="008D187C">
        <w:t>Uživatelé jsou povinni při jakémkoli opuštění svých pracovních stanic nebo jiných zařízení pro zpracování informací provést minimálně uložení dosud neuložených dokumentů a uzamčení stanic s ochranou heslem.</w:t>
      </w:r>
    </w:p>
    <w:p w:rsidR="00BD1647" w:rsidRPr="008D187C" w:rsidRDefault="00BD1647" w:rsidP="00BD1647">
      <w:pPr>
        <w:spacing w:after="80"/>
        <w:jc w:val="both"/>
      </w:pPr>
      <w:r w:rsidRPr="008D187C">
        <w:t>Uživatelé jsou povinni odebrat od tiskáren všechny dokumenty, a to bezprostředně po jejich vytištění.</w:t>
      </w:r>
    </w:p>
    <w:p w:rsidR="00BD1647" w:rsidRPr="008D187C" w:rsidRDefault="00BD1647" w:rsidP="00BD1647">
      <w:pPr>
        <w:spacing w:after="120"/>
        <w:jc w:val="both"/>
        <w:rPr>
          <w:iCs/>
        </w:rPr>
      </w:pPr>
      <w:r w:rsidRPr="008D187C">
        <w:lastRenderedPageBreak/>
        <w:t xml:space="preserve">S ohledem na novou povinnost hlásit porušení zabezpečení je nutné, aby byl správce schopen porušení rozeznat a zároveň </w:t>
      </w:r>
      <w:r w:rsidRPr="008D187C">
        <w:rPr>
          <w:iCs/>
        </w:rPr>
        <w:t>zařadit do jedné z následujících kategorií:</w:t>
      </w:r>
    </w:p>
    <w:p w:rsidR="00BD1647" w:rsidRPr="008D187C" w:rsidRDefault="00BD1647" w:rsidP="00BD1647">
      <w:pPr>
        <w:jc w:val="both"/>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78"/>
        <w:gridCol w:w="2337"/>
        <w:gridCol w:w="2383"/>
        <w:gridCol w:w="1864"/>
      </w:tblGrid>
      <w:tr w:rsidR="00BD1647" w:rsidRPr="008D187C" w:rsidTr="00642A60">
        <w:tc>
          <w:tcPr>
            <w:tcW w:w="2478" w:type="dxa"/>
            <w:shd w:val="clear" w:color="auto" w:fill="95B3D7"/>
            <w:vAlign w:val="center"/>
          </w:tcPr>
          <w:p w:rsidR="00BD1647" w:rsidRPr="008D187C" w:rsidRDefault="00BD1647" w:rsidP="00642A60">
            <w:pPr>
              <w:jc w:val="center"/>
              <w:rPr>
                <w:b/>
                <w:iCs/>
              </w:rPr>
            </w:pPr>
            <w:r w:rsidRPr="008D187C">
              <w:rPr>
                <w:b/>
                <w:iCs/>
              </w:rPr>
              <w:t>Porušení</w:t>
            </w:r>
          </w:p>
        </w:tc>
        <w:tc>
          <w:tcPr>
            <w:tcW w:w="2337" w:type="dxa"/>
            <w:shd w:val="clear" w:color="auto" w:fill="95B3D7"/>
            <w:vAlign w:val="center"/>
          </w:tcPr>
          <w:p w:rsidR="00BD1647" w:rsidRPr="008D187C" w:rsidRDefault="00BD1647" w:rsidP="00642A60">
            <w:pPr>
              <w:jc w:val="center"/>
              <w:rPr>
                <w:b/>
                <w:iCs/>
              </w:rPr>
            </w:pPr>
            <w:r w:rsidRPr="008D187C">
              <w:rPr>
                <w:b/>
                <w:iCs/>
              </w:rPr>
              <w:t>Nutnost hlásit dozorovému úřadu</w:t>
            </w:r>
          </w:p>
        </w:tc>
        <w:tc>
          <w:tcPr>
            <w:tcW w:w="2383" w:type="dxa"/>
            <w:shd w:val="clear" w:color="auto" w:fill="95B3D7"/>
            <w:vAlign w:val="center"/>
          </w:tcPr>
          <w:p w:rsidR="00BD1647" w:rsidRPr="008D187C" w:rsidRDefault="00BD1647" w:rsidP="00642A60">
            <w:pPr>
              <w:jc w:val="center"/>
              <w:rPr>
                <w:iCs/>
              </w:rPr>
            </w:pPr>
            <w:r w:rsidRPr="008D187C">
              <w:rPr>
                <w:b/>
                <w:iCs/>
              </w:rPr>
              <w:t>Nutnost hlásit subjektu údajů</w:t>
            </w:r>
          </w:p>
        </w:tc>
        <w:tc>
          <w:tcPr>
            <w:tcW w:w="1864" w:type="dxa"/>
            <w:shd w:val="clear" w:color="auto" w:fill="95B3D7"/>
            <w:vAlign w:val="center"/>
          </w:tcPr>
          <w:p w:rsidR="00BD1647" w:rsidRPr="008D187C" w:rsidRDefault="00BD1647" w:rsidP="00642A60">
            <w:pPr>
              <w:jc w:val="center"/>
              <w:rPr>
                <w:b/>
                <w:iCs/>
              </w:rPr>
            </w:pPr>
            <w:r w:rsidRPr="008D187C">
              <w:rPr>
                <w:b/>
                <w:iCs/>
              </w:rPr>
              <w:t>Lhůta</w:t>
            </w:r>
          </w:p>
        </w:tc>
      </w:tr>
      <w:tr w:rsidR="00BD1647" w:rsidRPr="008D187C" w:rsidTr="00642A60">
        <w:tc>
          <w:tcPr>
            <w:tcW w:w="2478" w:type="dxa"/>
            <w:vAlign w:val="center"/>
          </w:tcPr>
          <w:p w:rsidR="00BD1647" w:rsidRPr="008D187C" w:rsidRDefault="00BD1647" w:rsidP="00642A60">
            <w:pPr>
              <w:jc w:val="center"/>
              <w:rPr>
                <w:iCs/>
              </w:rPr>
            </w:pPr>
            <w:r w:rsidRPr="008D187C">
              <w:rPr>
                <w:iCs/>
              </w:rPr>
              <w:t>porušení nepředstavující riziko</w:t>
            </w:r>
          </w:p>
        </w:tc>
        <w:tc>
          <w:tcPr>
            <w:tcW w:w="2337" w:type="dxa"/>
            <w:vAlign w:val="center"/>
          </w:tcPr>
          <w:p w:rsidR="00BD1647" w:rsidRPr="008D187C" w:rsidRDefault="00BD1647" w:rsidP="00642A60">
            <w:pPr>
              <w:jc w:val="center"/>
              <w:rPr>
                <w:iCs/>
              </w:rPr>
            </w:pPr>
            <w:r w:rsidRPr="008D187C">
              <w:rPr>
                <w:iCs/>
              </w:rPr>
              <w:t>X</w:t>
            </w:r>
          </w:p>
        </w:tc>
        <w:tc>
          <w:tcPr>
            <w:tcW w:w="2383" w:type="dxa"/>
            <w:vAlign w:val="center"/>
          </w:tcPr>
          <w:p w:rsidR="00BD1647" w:rsidRPr="008D187C" w:rsidRDefault="00BD1647" w:rsidP="00642A60">
            <w:pPr>
              <w:jc w:val="center"/>
              <w:rPr>
                <w:iCs/>
              </w:rPr>
            </w:pPr>
            <w:r w:rsidRPr="008D187C">
              <w:rPr>
                <w:iCs/>
              </w:rPr>
              <w:t>X</w:t>
            </w:r>
          </w:p>
        </w:tc>
        <w:tc>
          <w:tcPr>
            <w:tcW w:w="1864" w:type="dxa"/>
            <w:vAlign w:val="center"/>
          </w:tcPr>
          <w:p w:rsidR="00BD1647" w:rsidRPr="008D187C" w:rsidRDefault="00BD1647" w:rsidP="00642A60">
            <w:pPr>
              <w:jc w:val="center"/>
              <w:rPr>
                <w:iCs/>
              </w:rPr>
            </w:pPr>
            <w:r w:rsidRPr="008D187C">
              <w:rPr>
                <w:iCs/>
              </w:rPr>
              <w:t>X</w:t>
            </w:r>
          </w:p>
        </w:tc>
      </w:tr>
      <w:tr w:rsidR="00BD1647" w:rsidRPr="008D187C" w:rsidTr="00642A60">
        <w:tc>
          <w:tcPr>
            <w:tcW w:w="2478" w:type="dxa"/>
            <w:vAlign w:val="center"/>
          </w:tcPr>
          <w:p w:rsidR="00BD1647" w:rsidRPr="008D187C" w:rsidRDefault="00BD1647" w:rsidP="00642A60">
            <w:pPr>
              <w:jc w:val="center"/>
              <w:rPr>
                <w:iCs/>
              </w:rPr>
            </w:pPr>
            <w:r w:rsidRPr="008D187C">
              <w:rPr>
                <w:iCs/>
              </w:rPr>
              <w:t>porušení představující riziko</w:t>
            </w:r>
          </w:p>
        </w:tc>
        <w:tc>
          <w:tcPr>
            <w:tcW w:w="2337" w:type="dxa"/>
            <w:vAlign w:val="center"/>
          </w:tcPr>
          <w:p w:rsidR="00BD1647" w:rsidRPr="008D187C" w:rsidRDefault="00BD1647" w:rsidP="00642A60">
            <w:pPr>
              <w:jc w:val="center"/>
              <w:rPr>
                <w:iCs/>
              </w:rPr>
            </w:pPr>
            <w:r w:rsidRPr="008D187C">
              <w:rPr>
                <w:iCs/>
              </w:rPr>
              <w:t>ano</w:t>
            </w:r>
          </w:p>
        </w:tc>
        <w:tc>
          <w:tcPr>
            <w:tcW w:w="2383" w:type="dxa"/>
            <w:vAlign w:val="center"/>
          </w:tcPr>
          <w:p w:rsidR="00BD1647" w:rsidRPr="008D187C" w:rsidRDefault="00BD1647" w:rsidP="00642A60">
            <w:pPr>
              <w:jc w:val="center"/>
              <w:rPr>
                <w:iCs/>
              </w:rPr>
            </w:pPr>
            <w:r w:rsidRPr="008D187C">
              <w:rPr>
                <w:iCs/>
              </w:rPr>
              <w:t>X</w:t>
            </w:r>
          </w:p>
        </w:tc>
        <w:tc>
          <w:tcPr>
            <w:tcW w:w="1864" w:type="dxa"/>
            <w:vAlign w:val="center"/>
          </w:tcPr>
          <w:p w:rsidR="00BD1647" w:rsidRPr="008D187C" w:rsidRDefault="00BD1647" w:rsidP="00642A60">
            <w:pPr>
              <w:jc w:val="center"/>
              <w:rPr>
                <w:iCs/>
              </w:rPr>
            </w:pPr>
            <w:r w:rsidRPr="008D187C">
              <w:rPr>
                <w:iCs/>
              </w:rPr>
              <w:t>72 hodin od okamžiku, kdy se správce o porušení dozvěděl</w:t>
            </w:r>
          </w:p>
        </w:tc>
      </w:tr>
      <w:tr w:rsidR="00BD1647" w:rsidRPr="008D187C" w:rsidTr="00642A60">
        <w:tc>
          <w:tcPr>
            <w:tcW w:w="2478" w:type="dxa"/>
            <w:vAlign w:val="center"/>
          </w:tcPr>
          <w:p w:rsidR="00BD1647" w:rsidRPr="008D187C" w:rsidRDefault="00BD1647" w:rsidP="00642A60">
            <w:pPr>
              <w:jc w:val="center"/>
              <w:rPr>
                <w:iCs/>
              </w:rPr>
            </w:pPr>
            <w:r w:rsidRPr="008D187C">
              <w:rPr>
                <w:iCs/>
              </w:rPr>
              <w:t>porušení představující vysoké riziko</w:t>
            </w:r>
          </w:p>
        </w:tc>
        <w:tc>
          <w:tcPr>
            <w:tcW w:w="2337" w:type="dxa"/>
            <w:vAlign w:val="center"/>
          </w:tcPr>
          <w:p w:rsidR="00BD1647" w:rsidRPr="008D187C" w:rsidRDefault="00BD1647" w:rsidP="00642A60">
            <w:pPr>
              <w:jc w:val="center"/>
              <w:rPr>
                <w:iCs/>
              </w:rPr>
            </w:pPr>
            <w:r w:rsidRPr="008D187C">
              <w:rPr>
                <w:iCs/>
              </w:rPr>
              <w:t>ano</w:t>
            </w:r>
          </w:p>
        </w:tc>
        <w:tc>
          <w:tcPr>
            <w:tcW w:w="2383" w:type="dxa"/>
            <w:vAlign w:val="center"/>
          </w:tcPr>
          <w:p w:rsidR="00BD1647" w:rsidRPr="008D187C" w:rsidRDefault="00BD1647" w:rsidP="00642A60">
            <w:pPr>
              <w:jc w:val="center"/>
              <w:rPr>
                <w:iCs/>
              </w:rPr>
            </w:pPr>
            <w:r w:rsidRPr="008D187C">
              <w:rPr>
                <w:iCs/>
              </w:rPr>
              <w:t>ano</w:t>
            </w:r>
          </w:p>
        </w:tc>
        <w:tc>
          <w:tcPr>
            <w:tcW w:w="1864" w:type="dxa"/>
            <w:vAlign w:val="center"/>
          </w:tcPr>
          <w:p w:rsidR="00BD1647" w:rsidRPr="008D187C" w:rsidRDefault="00BD1647" w:rsidP="00642A60">
            <w:pPr>
              <w:jc w:val="center"/>
              <w:rPr>
                <w:iCs/>
              </w:rPr>
            </w:pPr>
            <w:r w:rsidRPr="008D187C">
              <w:rPr>
                <w:iCs/>
              </w:rPr>
              <w:t>bez zbytečného odkladu</w:t>
            </w:r>
          </w:p>
        </w:tc>
      </w:tr>
    </w:tbl>
    <w:p w:rsidR="00BD1647" w:rsidRPr="008D187C" w:rsidRDefault="00BD1647" w:rsidP="00BD1647">
      <w:pPr>
        <w:spacing w:before="240" w:after="40"/>
        <w:jc w:val="both"/>
      </w:pPr>
      <w:r w:rsidRPr="008D187C">
        <w:t>Na zařazení do jednotlivých kategorií má vliv:</w:t>
      </w:r>
    </w:p>
    <w:p w:rsidR="00BD1647" w:rsidRPr="008D187C" w:rsidRDefault="00BD1647" w:rsidP="00BD1647">
      <w:pPr>
        <w:pStyle w:val="Odstavecseseznamem"/>
        <w:numPr>
          <w:ilvl w:val="1"/>
          <w:numId w:val="12"/>
        </w:numPr>
        <w:spacing w:after="40" w:line="240" w:lineRule="auto"/>
        <w:ind w:left="284" w:hanging="284"/>
        <w:contextualSpacing w:val="0"/>
        <w:jc w:val="both"/>
        <w:rPr>
          <w:iCs/>
          <w:szCs w:val="24"/>
        </w:rPr>
      </w:pPr>
      <w:r w:rsidRPr="008D187C">
        <w:rPr>
          <w:iCs/>
          <w:szCs w:val="24"/>
        </w:rPr>
        <w:t>Typ porušení</w:t>
      </w:r>
    </w:p>
    <w:p w:rsidR="00BD1647" w:rsidRPr="008D187C" w:rsidRDefault="00BD1647" w:rsidP="00BD1647">
      <w:pPr>
        <w:pStyle w:val="Odstavecseseznamem"/>
        <w:numPr>
          <w:ilvl w:val="1"/>
          <w:numId w:val="12"/>
        </w:numPr>
        <w:spacing w:after="40" w:line="240" w:lineRule="auto"/>
        <w:ind w:left="284" w:hanging="284"/>
        <w:contextualSpacing w:val="0"/>
        <w:jc w:val="both"/>
        <w:rPr>
          <w:iCs/>
          <w:szCs w:val="24"/>
        </w:rPr>
      </w:pPr>
      <w:r w:rsidRPr="008D187C">
        <w:rPr>
          <w:iCs/>
          <w:szCs w:val="24"/>
        </w:rPr>
        <w:t>Povaha, citlivost a objem osobních údajů</w:t>
      </w:r>
    </w:p>
    <w:p w:rsidR="00BD1647" w:rsidRPr="008D187C" w:rsidRDefault="00BD1647" w:rsidP="00BD1647">
      <w:pPr>
        <w:pStyle w:val="Odstavecseseznamem"/>
        <w:numPr>
          <w:ilvl w:val="1"/>
          <w:numId w:val="12"/>
        </w:numPr>
        <w:spacing w:after="40" w:line="240" w:lineRule="auto"/>
        <w:ind w:left="284" w:hanging="284"/>
        <w:contextualSpacing w:val="0"/>
        <w:jc w:val="both"/>
        <w:rPr>
          <w:iCs/>
          <w:szCs w:val="24"/>
        </w:rPr>
      </w:pPr>
      <w:r w:rsidRPr="008D187C">
        <w:rPr>
          <w:iCs/>
          <w:szCs w:val="24"/>
        </w:rPr>
        <w:t>Snadnost identifikace jednotlivců</w:t>
      </w:r>
    </w:p>
    <w:p w:rsidR="00BD1647" w:rsidRPr="008D187C" w:rsidRDefault="00BD1647" w:rsidP="00BD1647">
      <w:pPr>
        <w:pStyle w:val="Odstavecseseznamem"/>
        <w:numPr>
          <w:ilvl w:val="1"/>
          <w:numId w:val="12"/>
        </w:numPr>
        <w:spacing w:after="40" w:line="240" w:lineRule="auto"/>
        <w:ind w:left="284" w:hanging="284"/>
        <w:contextualSpacing w:val="0"/>
        <w:jc w:val="both"/>
        <w:rPr>
          <w:iCs/>
          <w:szCs w:val="24"/>
        </w:rPr>
      </w:pPr>
      <w:r w:rsidRPr="008D187C">
        <w:rPr>
          <w:iCs/>
          <w:szCs w:val="24"/>
        </w:rPr>
        <w:t>Závažnost důsledků pro jednotlivce</w:t>
      </w:r>
    </w:p>
    <w:p w:rsidR="00BD1647" w:rsidRPr="008D187C" w:rsidRDefault="00BD1647" w:rsidP="00BD1647">
      <w:pPr>
        <w:pStyle w:val="Odstavecseseznamem"/>
        <w:numPr>
          <w:ilvl w:val="1"/>
          <w:numId w:val="12"/>
        </w:numPr>
        <w:spacing w:after="40" w:line="240" w:lineRule="auto"/>
        <w:ind w:left="284" w:hanging="284"/>
        <w:contextualSpacing w:val="0"/>
        <w:jc w:val="both"/>
        <w:rPr>
          <w:iCs/>
          <w:szCs w:val="24"/>
        </w:rPr>
      </w:pPr>
      <w:r w:rsidRPr="008D187C">
        <w:rPr>
          <w:iCs/>
          <w:szCs w:val="24"/>
        </w:rPr>
        <w:t>Zvláštní charakteristiky jednotlivce</w:t>
      </w:r>
    </w:p>
    <w:p w:rsidR="00BD1647" w:rsidRPr="008D187C" w:rsidRDefault="00BD1647" w:rsidP="00BD1647">
      <w:pPr>
        <w:pStyle w:val="Odstavecseseznamem"/>
        <w:numPr>
          <w:ilvl w:val="1"/>
          <w:numId w:val="12"/>
        </w:numPr>
        <w:spacing w:after="40" w:line="240" w:lineRule="auto"/>
        <w:ind w:left="284" w:hanging="284"/>
        <w:contextualSpacing w:val="0"/>
        <w:jc w:val="both"/>
        <w:rPr>
          <w:iCs/>
          <w:szCs w:val="24"/>
        </w:rPr>
      </w:pPr>
      <w:r w:rsidRPr="008D187C">
        <w:rPr>
          <w:iCs/>
          <w:szCs w:val="24"/>
        </w:rPr>
        <w:t>Počet dotčených jednotlivců</w:t>
      </w:r>
    </w:p>
    <w:p w:rsidR="00BD1647" w:rsidRPr="008D187C" w:rsidRDefault="00BD1647" w:rsidP="00BD1647">
      <w:pPr>
        <w:pStyle w:val="Odstavecseseznamem"/>
        <w:numPr>
          <w:ilvl w:val="1"/>
          <w:numId w:val="12"/>
        </w:numPr>
        <w:spacing w:after="40" w:line="240" w:lineRule="auto"/>
        <w:ind w:left="284" w:hanging="284"/>
        <w:contextualSpacing w:val="0"/>
        <w:jc w:val="both"/>
        <w:rPr>
          <w:iCs/>
          <w:szCs w:val="24"/>
        </w:rPr>
      </w:pPr>
      <w:r w:rsidRPr="008D187C">
        <w:rPr>
          <w:iCs/>
          <w:szCs w:val="24"/>
        </w:rPr>
        <w:t>Zvláštní charakteristiky správce</w:t>
      </w:r>
    </w:p>
    <w:p w:rsidR="00BD1647" w:rsidRPr="008D187C" w:rsidRDefault="00BD1647" w:rsidP="00BD1647">
      <w:pPr>
        <w:pStyle w:val="Odstavecseseznamem"/>
        <w:numPr>
          <w:ilvl w:val="1"/>
          <w:numId w:val="12"/>
        </w:numPr>
        <w:spacing w:after="120" w:line="240" w:lineRule="auto"/>
        <w:ind w:left="284" w:hanging="284"/>
        <w:contextualSpacing w:val="0"/>
        <w:jc w:val="both"/>
        <w:rPr>
          <w:iCs/>
          <w:szCs w:val="24"/>
        </w:rPr>
      </w:pPr>
      <w:r w:rsidRPr="008D187C">
        <w:rPr>
          <w:iCs/>
          <w:szCs w:val="24"/>
        </w:rPr>
        <w:t>Obecné skutečnosti</w:t>
      </w:r>
    </w:p>
    <w:p w:rsidR="00BD1647" w:rsidRPr="008D187C" w:rsidRDefault="00BD1647" w:rsidP="00BD1647">
      <w:pPr>
        <w:spacing w:after="120"/>
        <w:jc w:val="both"/>
        <w:rPr>
          <w:b/>
        </w:rPr>
      </w:pPr>
      <w:r w:rsidRPr="008D187C">
        <w:rPr>
          <w:b/>
        </w:rPr>
        <w:t>Povinnosti, které se na bytová družstva a společenství vlastníků nevztahují:</w:t>
      </w:r>
    </w:p>
    <w:p w:rsidR="00BD1647" w:rsidRPr="008D187C" w:rsidRDefault="00BD1647" w:rsidP="00BD1647">
      <w:pPr>
        <w:spacing w:after="120"/>
        <w:jc w:val="both"/>
        <w:rPr>
          <w:u w:val="single"/>
        </w:rPr>
      </w:pPr>
      <w:r w:rsidRPr="008D187C">
        <w:rPr>
          <w:u w:val="single"/>
        </w:rPr>
        <w:t>Provést posouzení vlivu (článek 35 Nařízení)</w:t>
      </w:r>
    </w:p>
    <w:p w:rsidR="00BD1647" w:rsidRPr="008D187C" w:rsidRDefault="00BD1647" w:rsidP="00BD1647">
      <w:pPr>
        <w:spacing w:after="240"/>
        <w:jc w:val="both"/>
        <w:rPr>
          <w:u w:val="single"/>
        </w:rPr>
      </w:pPr>
      <w:r w:rsidRPr="008D187C">
        <w:rPr>
          <w:u w:val="single"/>
        </w:rPr>
        <w:t>Jmenovat pověřence pro ochranu osobních údajů (článek 37 Nařízení)</w:t>
      </w:r>
    </w:p>
    <w:p w:rsidR="00BD1647" w:rsidRPr="008D187C" w:rsidRDefault="00BD1647" w:rsidP="00BD1647">
      <w:pPr>
        <w:spacing w:before="240" w:line="276" w:lineRule="auto"/>
        <w:jc w:val="both"/>
      </w:pPr>
    </w:p>
    <w:p w:rsidR="00477E3F" w:rsidRDefault="00477E3F"/>
    <w:p w:rsidR="00CD47D1" w:rsidRDefault="00CD47D1"/>
    <w:p w:rsidR="00CD47D1" w:rsidRDefault="00CD47D1"/>
    <w:p w:rsidR="00CD47D1" w:rsidRDefault="00CD47D1"/>
    <w:p w:rsidR="00CD47D1" w:rsidRDefault="00CD47D1"/>
    <w:p w:rsidR="00CD47D1" w:rsidRDefault="00CD47D1"/>
    <w:p w:rsidR="00CD47D1" w:rsidRDefault="00CD47D1"/>
    <w:p w:rsidR="00CD47D1" w:rsidRDefault="00CD47D1"/>
    <w:p w:rsidR="00D81203" w:rsidRDefault="00D81203" w:rsidP="00057970">
      <w:pPr>
        <w:spacing w:line="276" w:lineRule="auto"/>
        <w:jc w:val="both"/>
        <w:rPr>
          <w:b/>
        </w:rPr>
      </w:pPr>
    </w:p>
    <w:p w:rsidR="00057970" w:rsidRPr="00730CCD" w:rsidRDefault="00057970" w:rsidP="00057970">
      <w:pPr>
        <w:spacing w:line="276" w:lineRule="auto"/>
        <w:jc w:val="both"/>
        <w:rPr>
          <w:b/>
        </w:rPr>
      </w:pPr>
      <w:bookmarkStart w:id="2" w:name="_GoBack"/>
      <w:bookmarkEnd w:id="2"/>
      <w:r w:rsidRPr="00730CCD">
        <w:rPr>
          <w:b/>
        </w:rPr>
        <w:lastRenderedPageBreak/>
        <w:t xml:space="preserve">ČÁST VZORY </w:t>
      </w:r>
    </w:p>
    <w:p w:rsidR="00057970" w:rsidRDefault="00057970" w:rsidP="00057970">
      <w:pPr>
        <w:spacing w:line="276" w:lineRule="auto"/>
        <w:jc w:val="both"/>
      </w:pPr>
    </w:p>
    <w:p w:rsidR="00057970" w:rsidRDefault="00057970" w:rsidP="00057970">
      <w:pPr>
        <w:spacing w:line="276" w:lineRule="auto"/>
        <w:jc w:val="both"/>
      </w:pPr>
      <w:r>
        <w:t>D</w:t>
      </w:r>
      <w:r w:rsidRPr="008D187C">
        <w:t xml:space="preserve">ne 25. </w:t>
      </w:r>
      <w:proofErr w:type="gramStart"/>
      <w:r w:rsidRPr="008D187C">
        <w:t>května  2018</w:t>
      </w:r>
      <w:proofErr w:type="gramEnd"/>
      <w:r w:rsidRPr="008D187C">
        <w:t xml:space="preserve"> začíná platit Nařízení Evropského parlamentu a Rady 2016/679 znám</w:t>
      </w:r>
      <w:r>
        <w:t>é</w:t>
      </w:r>
      <w:r w:rsidRPr="008D187C">
        <w:t xml:space="preserve"> pod anglickou zkratkou GDPR (General Data </w:t>
      </w:r>
      <w:proofErr w:type="spellStart"/>
      <w:r w:rsidRPr="008D187C">
        <w:t>Protection</w:t>
      </w:r>
      <w:proofErr w:type="spellEnd"/>
      <w:r w:rsidRPr="008D187C">
        <w:t xml:space="preserve">  </w:t>
      </w:r>
      <w:proofErr w:type="spellStart"/>
      <w:r w:rsidRPr="008D187C">
        <w:t>Regulation</w:t>
      </w:r>
      <w:proofErr w:type="spellEnd"/>
      <w:r w:rsidRPr="008D187C">
        <w:t xml:space="preserve">). Z tohoto důvodu je nutné upravit některé vnitřní procesy v SVJ a BD a přizpůsobit je platnosti tohoto evropského nařízení. Pro aplikaci jsme připravili některé podstatné vzory, které lze použít i ve Vašem SVJ nebo BD. Vycházíme z toho, že neexistuje žádný skutečný odborník na tuto problematiku a </w:t>
      </w:r>
      <w:proofErr w:type="gramStart"/>
      <w:r w:rsidRPr="008D187C">
        <w:t>proto  se</w:t>
      </w:r>
      <w:proofErr w:type="gramEnd"/>
      <w:r w:rsidRPr="008D187C">
        <w:t xml:space="preserve"> jedná pouze o doporučené návody, které je třeba přizpůsobit  do Vašich podmínek a mají Vám být nápomocny v orientaci  v této problematice.</w:t>
      </w:r>
    </w:p>
    <w:p w:rsidR="00057970" w:rsidRPr="008D187C" w:rsidRDefault="00057970" w:rsidP="00057970">
      <w:pPr>
        <w:spacing w:line="276" w:lineRule="auto"/>
        <w:jc w:val="both"/>
      </w:pPr>
      <w:r>
        <w:t xml:space="preserve">Předpokládáme, že i nadále bude docházet k výkladům a v souvislosti s novou judikaturou k dalším změnám. </w:t>
      </w:r>
    </w:p>
    <w:p w:rsidR="00057970" w:rsidRPr="008D187C" w:rsidRDefault="00057970" w:rsidP="00057970">
      <w:pPr>
        <w:spacing w:line="276" w:lineRule="auto"/>
        <w:jc w:val="both"/>
      </w:pPr>
      <w:r w:rsidRPr="008D187C">
        <w:t xml:space="preserve">Pro snadnější </w:t>
      </w:r>
      <w:proofErr w:type="gramStart"/>
      <w:r>
        <w:t xml:space="preserve">pochopení </w:t>
      </w:r>
      <w:r w:rsidRPr="008D187C">
        <w:t xml:space="preserve"> jsme</w:t>
      </w:r>
      <w:proofErr w:type="gramEnd"/>
      <w:r w:rsidRPr="008D187C">
        <w:t xml:space="preserve"> zpracovali </w:t>
      </w:r>
      <w:r>
        <w:t xml:space="preserve">z dostupných informací </w:t>
      </w:r>
      <w:r w:rsidRPr="008D187C">
        <w:t>návod postupu, který je ovšem nutno chápat jako orientační.</w:t>
      </w:r>
    </w:p>
    <w:p w:rsidR="00057970" w:rsidRDefault="00057970" w:rsidP="00057970">
      <w:pPr>
        <w:spacing w:before="240" w:line="276" w:lineRule="auto"/>
        <w:jc w:val="both"/>
      </w:pPr>
    </w:p>
    <w:p w:rsidR="00057970" w:rsidRPr="008D187C" w:rsidRDefault="00057970" w:rsidP="00057970">
      <w:pPr>
        <w:spacing w:before="240" w:line="276" w:lineRule="auto"/>
        <w:jc w:val="both"/>
        <w:rPr>
          <w:b/>
          <w:u w:val="single"/>
        </w:rPr>
      </w:pPr>
      <w:r>
        <w:rPr>
          <w:b/>
          <w:u w:val="single"/>
        </w:rPr>
        <w:t>Návod postupu</w:t>
      </w:r>
    </w:p>
    <w:p w:rsidR="00057970" w:rsidRPr="008D187C" w:rsidRDefault="00057970" w:rsidP="00057970">
      <w:pPr>
        <w:pStyle w:val="Odstavecseseznamem"/>
        <w:numPr>
          <w:ilvl w:val="0"/>
          <w:numId w:val="14"/>
        </w:numPr>
        <w:spacing w:before="240" w:line="276" w:lineRule="auto"/>
        <w:jc w:val="both"/>
      </w:pPr>
      <w:r w:rsidRPr="008D187C">
        <w:t>nejprve prostudujte vnitřní směrnici (</w:t>
      </w:r>
      <w:proofErr w:type="gramStart"/>
      <w:r w:rsidRPr="008D187C">
        <w:t xml:space="preserve">vzor  </w:t>
      </w:r>
      <w:r>
        <w:t>2</w:t>
      </w:r>
      <w:proofErr w:type="gramEnd"/>
      <w:r w:rsidRPr="008D187C">
        <w:t>) a seznamte se se základními pojmy, především je třeba si uvědomit, že správcem osobních údajů je vždy SVJ nebo BD,</w:t>
      </w:r>
    </w:p>
    <w:p w:rsidR="00057970" w:rsidRPr="008D187C" w:rsidRDefault="00057970" w:rsidP="00057970">
      <w:pPr>
        <w:pStyle w:val="Odstavecseseznamem"/>
        <w:numPr>
          <w:ilvl w:val="0"/>
          <w:numId w:val="14"/>
        </w:numPr>
        <w:spacing w:before="240" w:line="276" w:lineRule="auto"/>
        <w:jc w:val="both"/>
      </w:pPr>
      <w:r w:rsidRPr="008D187C">
        <w:t xml:space="preserve">vydejte vnitřní směrnici po přizpůsobení vašim podmínkám rozhodnutím statutárního orgánu, </w:t>
      </w:r>
    </w:p>
    <w:p w:rsidR="00057970" w:rsidRPr="008D187C" w:rsidRDefault="00057970" w:rsidP="00057970">
      <w:pPr>
        <w:pStyle w:val="Odstavecseseznamem"/>
        <w:numPr>
          <w:ilvl w:val="0"/>
          <w:numId w:val="14"/>
        </w:numPr>
        <w:spacing w:before="240" w:line="276" w:lineRule="auto"/>
        <w:jc w:val="both"/>
      </w:pPr>
      <w:r w:rsidRPr="008D187C">
        <w:t xml:space="preserve">udělejte si rozbor (zde se používá výraz analýza) dosavadního zpracování </w:t>
      </w:r>
      <w:proofErr w:type="gramStart"/>
      <w:r w:rsidRPr="008D187C">
        <w:t>osobních  údajů</w:t>
      </w:r>
      <w:proofErr w:type="gramEnd"/>
      <w:r w:rsidRPr="008D187C">
        <w:t xml:space="preserve">, pokud jste dosud v této věci nic nedělali, postupujte podle článku   III.  body a) – </w:t>
      </w:r>
      <w:proofErr w:type="gramStart"/>
      <w:r w:rsidRPr="008D187C">
        <w:t>h)  vnitřní</w:t>
      </w:r>
      <w:proofErr w:type="gramEnd"/>
      <w:r w:rsidRPr="008D187C">
        <w:t xml:space="preserve"> směrnice  vzor </w:t>
      </w:r>
      <w:r>
        <w:t>2</w:t>
      </w:r>
      <w:r w:rsidRPr="008D187C">
        <w:t>,</w:t>
      </w:r>
    </w:p>
    <w:p w:rsidR="00057970" w:rsidRPr="008D187C" w:rsidRDefault="00057970" w:rsidP="00057970">
      <w:pPr>
        <w:pStyle w:val="Odstavecseseznamem"/>
        <w:numPr>
          <w:ilvl w:val="0"/>
          <w:numId w:val="14"/>
        </w:numPr>
        <w:spacing w:before="240" w:line="276" w:lineRule="auto"/>
        <w:jc w:val="both"/>
      </w:pPr>
      <w:r w:rsidRPr="008D187C">
        <w:t xml:space="preserve">uvědomte si důvody, pro které zpracováváte osobní údaje, </w:t>
      </w:r>
    </w:p>
    <w:p w:rsidR="00057970" w:rsidRPr="008D187C" w:rsidRDefault="00057970" w:rsidP="00057970">
      <w:pPr>
        <w:pStyle w:val="Odstavecseseznamem"/>
        <w:numPr>
          <w:ilvl w:val="1"/>
          <w:numId w:val="14"/>
        </w:numPr>
        <w:spacing w:before="240" w:line="276" w:lineRule="auto"/>
        <w:jc w:val="both"/>
      </w:pPr>
      <w:r w:rsidRPr="008D187C">
        <w:t xml:space="preserve">nejčastěji půjde o zpracování nezbytné pro plnění právních povinností, které se na Vás vztahují, především z NOZ a ZOK (článek IV. bod 1 směrnice – vzor </w:t>
      </w:r>
      <w:r>
        <w:t>2</w:t>
      </w:r>
      <w:r w:rsidRPr="008D187C">
        <w:t>). U BD a SVJ půjde o členy, nájemníky, zaměstnance a kamerový systém,</w:t>
      </w:r>
    </w:p>
    <w:p w:rsidR="00057970" w:rsidRPr="008D187C" w:rsidRDefault="00057970" w:rsidP="00057970">
      <w:pPr>
        <w:pStyle w:val="Odstavecseseznamem"/>
        <w:numPr>
          <w:ilvl w:val="1"/>
          <w:numId w:val="14"/>
        </w:numPr>
        <w:spacing w:before="240" w:line="276" w:lineRule="auto"/>
        <w:jc w:val="both"/>
      </w:pPr>
      <w:r w:rsidRPr="008D187C">
        <w:t>může jít také o zpracování nezbytné pro účely oprávněných zájmů BD a SVJ (dále jen správce), zde půjde o úvahu subjektivní a třeba zvážit, zda takové údaje nezbytně potřebujete, např. RČ nebo vedení seznamu členů u SVJ,</w:t>
      </w:r>
    </w:p>
    <w:p w:rsidR="00057970" w:rsidRPr="008D187C" w:rsidRDefault="00057970" w:rsidP="00057970">
      <w:pPr>
        <w:pStyle w:val="Odstavecseseznamem"/>
        <w:numPr>
          <w:ilvl w:val="1"/>
          <w:numId w:val="14"/>
        </w:numPr>
        <w:spacing w:before="240" w:line="276" w:lineRule="auto"/>
        <w:jc w:val="both"/>
      </w:pPr>
      <w:r w:rsidRPr="008D187C">
        <w:t xml:space="preserve">někdy se může jednat o zpracování nezbytné pro účely smlouvy jejíž jste stranou </w:t>
      </w:r>
    </w:p>
    <w:p w:rsidR="00057970" w:rsidRPr="008D187C" w:rsidRDefault="00057970" w:rsidP="00057970">
      <w:pPr>
        <w:pStyle w:val="Odstavecseseznamem"/>
        <w:numPr>
          <w:ilvl w:val="0"/>
          <w:numId w:val="14"/>
        </w:numPr>
        <w:spacing w:before="240" w:line="276" w:lineRule="auto"/>
        <w:jc w:val="both"/>
      </w:pPr>
      <w:r w:rsidRPr="008D187C">
        <w:t xml:space="preserve">V případě, že nejde o žádný výše uvedený důvod, potřebujete souhlas subjektu, viz.  článek IV. odst. 2 až 7 </w:t>
      </w:r>
      <w:proofErr w:type="gramStart"/>
      <w:r w:rsidRPr="008D187C">
        <w:t xml:space="preserve">vzoru  </w:t>
      </w:r>
      <w:r>
        <w:t>2</w:t>
      </w:r>
      <w:proofErr w:type="gramEnd"/>
      <w:r w:rsidRPr="008D187C">
        <w:t>, v našem případě to nebude zpravidla nutné, kromě případu souhlasu zákonných zástupců u nezletilých</w:t>
      </w:r>
      <w:r>
        <w:t>. Pro souhlas použijte vzor 6.</w:t>
      </w:r>
    </w:p>
    <w:p w:rsidR="00057970" w:rsidRPr="008D187C" w:rsidRDefault="00057970" w:rsidP="00057970">
      <w:pPr>
        <w:pStyle w:val="Odstavecseseznamem"/>
        <w:numPr>
          <w:ilvl w:val="0"/>
          <w:numId w:val="14"/>
        </w:numPr>
        <w:spacing w:before="240" w:line="276" w:lineRule="auto"/>
        <w:jc w:val="both"/>
      </w:pPr>
      <w:r w:rsidRPr="008D187C">
        <w:t xml:space="preserve">správce vede záznamy o činnostech zpracování, viz článek VI. vzoru </w:t>
      </w:r>
      <w:r>
        <w:t>2</w:t>
      </w:r>
      <w:r w:rsidRPr="008D187C">
        <w:t xml:space="preserve">, pro vedení těchto záznamů použijte </w:t>
      </w:r>
      <w:proofErr w:type="gramStart"/>
      <w:r w:rsidRPr="008D187C">
        <w:t xml:space="preserve">vzor  </w:t>
      </w:r>
      <w:r>
        <w:t>3</w:t>
      </w:r>
      <w:proofErr w:type="gramEnd"/>
      <w:r w:rsidRPr="008D187C">
        <w:t xml:space="preserve">  nebo </w:t>
      </w:r>
      <w:r>
        <w:t xml:space="preserve"> 4</w:t>
      </w:r>
    </w:p>
    <w:p w:rsidR="00057970" w:rsidRPr="008D187C" w:rsidRDefault="00057970" w:rsidP="00057970">
      <w:pPr>
        <w:pStyle w:val="Odstavecseseznamem"/>
        <w:numPr>
          <w:ilvl w:val="0"/>
          <w:numId w:val="14"/>
        </w:numPr>
        <w:spacing w:before="240" w:line="276" w:lineRule="auto"/>
        <w:jc w:val="both"/>
      </w:pPr>
      <w:r w:rsidRPr="008D187C">
        <w:t xml:space="preserve">věnujte pozornost článku VII. vzoru </w:t>
      </w:r>
      <w:r>
        <w:t>2</w:t>
      </w:r>
      <w:r w:rsidRPr="008D187C">
        <w:t xml:space="preserve"> pro zabezpečení osobních údajů a porušení tohoto zabezpečení, přijměte </w:t>
      </w:r>
      <w:proofErr w:type="gramStart"/>
      <w:r w:rsidRPr="008D187C">
        <w:t>opatření  technické</w:t>
      </w:r>
      <w:proofErr w:type="gramEnd"/>
      <w:r w:rsidRPr="008D187C">
        <w:t xml:space="preserve"> a organizační povahy, IT zabezpečení a zabezpečení obrazové nahrávky bez zvukové stopy zpravidla kamerový systém, který snímá osoby vstupující do monitorovaných prostor správce,</w:t>
      </w:r>
    </w:p>
    <w:p w:rsidR="00CD47D1" w:rsidRDefault="00057970" w:rsidP="00CD47D1">
      <w:pPr>
        <w:pStyle w:val="Odstavecseseznamem"/>
        <w:numPr>
          <w:ilvl w:val="0"/>
          <w:numId w:val="14"/>
        </w:numPr>
        <w:spacing w:before="240" w:line="276" w:lineRule="auto"/>
        <w:jc w:val="both"/>
      </w:pPr>
      <w:r w:rsidRPr="008D187C">
        <w:t xml:space="preserve">pokud máte </w:t>
      </w:r>
      <w:proofErr w:type="gramStart"/>
      <w:r w:rsidRPr="008D187C">
        <w:t>nějaké  externí</w:t>
      </w:r>
      <w:proofErr w:type="gramEnd"/>
      <w:r w:rsidRPr="008D187C">
        <w:t xml:space="preserve"> dodávky služeb, např. účetní firma, správa nemovitosti, rozúčtování tepla apod., kterým předáváte osobní údaje vašich členů, postupujte podle  článku V. vzoru </w:t>
      </w:r>
      <w:r>
        <w:t>2</w:t>
      </w:r>
      <w:r w:rsidRPr="008D187C">
        <w:t xml:space="preserve">  a použijte vzor </w:t>
      </w:r>
      <w:r>
        <w:t xml:space="preserve"> 8</w:t>
      </w:r>
    </w:p>
    <w:p w:rsidR="00CD47D1" w:rsidRDefault="00CD47D1" w:rsidP="00CD47D1">
      <w:pPr>
        <w:spacing w:before="240" w:line="276" w:lineRule="auto"/>
        <w:jc w:val="both"/>
      </w:pPr>
    </w:p>
    <w:p w:rsidR="00CD47D1" w:rsidRDefault="00CD47D1" w:rsidP="00CD47D1">
      <w:pPr>
        <w:spacing w:before="240" w:line="276" w:lineRule="auto"/>
        <w:jc w:val="both"/>
      </w:pPr>
    </w:p>
    <w:p w:rsidR="00CD47D1" w:rsidRPr="008D187C" w:rsidRDefault="00CD47D1" w:rsidP="00CD47D1">
      <w:pPr>
        <w:spacing w:before="240" w:line="276" w:lineRule="auto"/>
        <w:jc w:val="both"/>
      </w:pPr>
    </w:p>
    <w:p w:rsidR="00CD47D1" w:rsidRDefault="00CD47D1"/>
    <w:p w:rsidR="00CD47D1" w:rsidRDefault="00CD47D1"/>
    <w:p w:rsidR="00CD47D1" w:rsidRDefault="00CD47D1"/>
    <w:p w:rsidR="00CD47D1" w:rsidRDefault="00CD47D1"/>
    <w:p w:rsidR="00CD47D1" w:rsidRDefault="00CD47D1"/>
    <w:p w:rsidR="00CD47D1" w:rsidRDefault="00CD47D1"/>
    <w:sectPr w:rsidR="00CD47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357B"/>
    <w:multiLevelType w:val="hybridMultilevel"/>
    <w:tmpl w:val="B1FC9288"/>
    <w:lvl w:ilvl="0" w:tplc="2B02597E">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E2A"/>
    <w:multiLevelType w:val="hybridMultilevel"/>
    <w:tmpl w:val="FB407972"/>
    <w:lvl w:ilvl="0" w:tplc="A95804A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812A5E"/>
    <w:multiLevelType w:val="hybridMultilevel"/>
    <w:tmpl w:val="62E0B4A6"/>
    <w:lvl w:ilvl="0" w:tplc="2B02597E">
      <w:start w:val="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1CB5116"/>
    <w:multiLevelType w:val="hybridMultilevel"/>
    <w:tmpl w:val="8B248A7A"/>
    <w:lvl w:ilvl="0" w:tplc="04050003">
      <w:start w:val="1"/>
      <w:numFmt w:val="bullet"/>
      <w:lvlText w:val="o"/>
      <w:lvlJc w:val="left"/>
      <w:pPr>
        <w:ind w:left="1065" w:hanging="705"/>
      </w:pPr>
      <w:rPr>
        <w:rFonts w:ascii="Courier New" w:hAnsi="Courier New" w:cs="Courier New" w:hint="default"/>
      </w:rPr>
    </w:lvl>
    <w:lvl w:ilvl="1" w:tplc="F7D2CE46">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21567A1"/>
    <w:multiLevelType w:val="multilevel"/>
    <w:tmpl w:val="A01CC6D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08601E"/>
    <w:multiLevelType w:val="hybridMultilevel"/>
    <w:tmpl w:val="5288B8A4"/>
    <w:lvl w:ilvl="0" w:tplc="0C7EA2E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C356157"/>
    <w:multiLevelType w:val="hybridMultilevel"/>
    <w:tmpl w:val="E938D148"/>
    <w:lvl w:ilvl="0" w:tplc="69042168">
      <w:start w:val="1"/>
      <w:numFmt w:val="decimal"/>
      <w:lvlText w:val="%1)"/>
      <w:lvlJc w:val="left"/>
      <w:pPr>
        <w:ind w:left="720" w:hanging="360"/>
      </w:pPr>
      <w:rPr>
        <w:rFonts w:hint="default"/>
        <w:b w:val="0"/>
      </w:rPr>
    </w:lvl>
    <w:lvl w:ilvl="1" w:tplc="D86AE320">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DFC12D3"/>
    <w:multiLevelType w:val="hybridMultilevel"/>
    <w:tmpl w:val="C0AC07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570F71"/>
    <w:multiLevelType w:val="hybridMultilevel"/>
    <w:tmpl w:val="0AA22ED4"/>
    <w:lvl w:ilvl="0" w:tplc="738E7D46">
      <w:numFmt w:val="bullet"/>
      <w:lvlText w:val=""/>
      <w:lvlJc w:val="left"/>
      <w:pPr>
        <w:ind w:left="720" w:hanging="360"/>
      </w:pPr>
      <w:rPr>
        <w:rFonts w:ascii="Symbol" w:eastAsiaTheme="minorHAnsi" w:hAnsi="Symbol" w:cs="Times New Roman" w:hint="default"/>
      </w:rPr>
    </w:lvl>
    <w:lvl w:ilvl="1" w:tplc="738E7D46">
      <w:numFmt w:val="bullet"/>
      <w:lvlText w:val=""/>
      <w:lvlJc w:val="left"/>
      <w:pPr>
        <w:ind w:left="1440" w:hanging="360"/>
      </w:pPr>
      <w:rPr>
        <w:rFonts w:ascii="Symbol" w:eastAsiaTheme="minorHAnsi"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C562363"/>
    <w:multiLevelType w:val="hybridMultilevel"/>
    <w:tmpl w:val="C85C1AB0"/>
    <w:lvl w:ilvl="0" w:tplc="04050017">
      <w:start w:val="1"/>
      <w:numFmt w:val="lowerLetter"/>
      <w:lvlText w:val="%1)"/>
      <w:lvlJc w:val="left"/>
      <w:pPr>
        <w:ind w:left="720" w:hanging="360"/>
      </w:pPr>
      <w:rPr>
        <w:rFonts w:hint="default"/>
      </w:rPr>
    </w:lvl>
    <w:lvl w:ilvl="1" w:tplc="B1D24FF2">
      <w:start w:val="1"/>
      <w:numFmt w:val="decimal"/>
      <w:lvlText w:val="%2)"/>
      <w:lvlJc w:val="left"/>
      <w:pPr>
        <w:ind w:left="1440" w:hanging="360"/>
      </w:pPr>
      <w:rPr>
        <w:rFonts w:hint="default"/>
      </w:rPr>
    </w:lvl>
    <w:lvl w:ilvl="2" w:tplc="04050003">
      <w:start w:val="1"/>
      <w:numFmt w:val="bullet"/>
      <w:lvlText w:val="o"/>
      <w:lvlJc w:val="left"/>
      <w:pPr>
        <w:ind w:left="2685" w:hanging="705"/>
      </w:pPr>
      <w:rPr>
        <w:rFonts w:ascii="Courier New" w:hAnsi="Courier New" w:cs="Courier New"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3F233E"/>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CEC6F42"/>
    <w:multiLevelType w:val="hybridMultilevel"/>
    <w:tmpl w:val="D5BADE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59F1A33"/>
    <w:multiLevelType w:val="hybridMultilevel"/>
    <w:tmpl w:val="AA784446"/>
    <w:lvl w:ilvl="0" w:tplc="9D30C614">
      <w:start w:val="1"/>
      <w:numFmt w:val="decimal"/>
      <w:pStyle w:val="odrka1"/>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1"/>
  </w:num>
  <w:num w:numId="2">
    <w:abstractNumId w:val="4"/>
  </w:num>
  <w:num w:numId="3">
    <w:abstractNumId w:val="12"/>
  </w:num>
  <w:num w:numId="4">
    <w:abstractNumId w:val="12"/>
    <w:lvlOverride w:ilvl="0">
      <w:startOverride w:val="1"/>
    </w:lvlOverride>
  </w:num>
  <w:num w:numId="5">
    <w:abstractNumId w:val="2"/>
  </w:num>
  <w:num w:numId="6">
    <w:abstractNumId w:val="1"/>
  </w:num>
  <w:num w:numId="7">
    <w:abstractNumId w:val="7"/>
  </w:num>
  <w:num w:numId="8">
    <w:abstractNumId w:val="9"/>
  </w:num>
  <w:num w:numId="9">
    <w:abstractNumId w:val="6"/>
  </w:num>
  <w:num w:numId="10">
    <w:abstractNumId w:val="0"/>
  </w:num>
  <w:num w:numId="11">
    <w:abstractNumId w:val="3"/>
  </w:num>
  <w:num w:numId="12">
    <w:abstractNumId w:val="8"/>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47"/>
    <w:rsid w:val="00057970"/>
    <w:rsid w:val="00477E3F"/>
    <w:rsid w:val="00BD1647"/>
    <w:rsid w:val="00CD47D1"/>
    <w:rsid w:val="00D812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3075"/>
  <w15:chartTrackingRefBased/>
  <w15:docId w15:val="{C7CE769A-2DD0-430A-B465-B0BE5A7F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D164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D1647"/>
    <w:pPr>
      <w:ind w:left="720"/>
      <w:contextualSpacing/>
    </w:pPr>
  </w:style>
  <w:style w:type="paragraph" w:styleId="Normlnweb">
    <w:name w:val="Normal (Web)"/>
    <w:basedOn w:val="Normln"/>
    <w:uiPriority w:val="99"/>
    <w:unhideWhenUsed/>
    <w:rsid w:val="00BD1647"/>
    <w:pPr>
      <w:spacing w:before="100" w:beforeAutospacing="1" w:after="100" w:afterAutospacing="1" w:line="240" w:lineRule="auto"/>
    </w:pPr>
    <w:rPr>
      <w:rFonts w:ascii="Times New Roman" w:hAnsi="Times New Roman" w:cs="Times New Roman"/>
      <w:sz w:val="24"/>
      <w:szCs w:val="24"/>
      <w:lang w:eastAsia="cs-CZ"/>
    </w:rPr>
  </w:style>
  <w:style w:type="paragraph" w:customStyle="1" w:styleId="odrka1">
    <w:name w:val="odrážka 1)"/>
    <w:basedOn w:val="Odstavecseseznamem"/>
    <w:uiPriority w:val="99"/>
    <w:rsid w:val="00BD1647"/>
    <w:pPr>
      <w:numPr>
        <w:numId w:val="3"/>
      </w:numPr>
      <w:spacing w:before="200" w:after="0" w:line="288" w:lineRule="auto"/>
      <w:contextualSpacing w:val="0"/>
      <w:jc w:val="both"/>
    </w:pPr>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4255</Words>
  <Characters>25108</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Loudilova</dc:creator>
  <cp:keywords/>
  <dc:description/>
  <cp:lastModifiedBy>Michaela Loudilova</cp:lastModifiedBy>
  <cp:revision>4</cp:revision>
  <dcterms:created xsi:type="dcterms:W3CDTF">2018-05-15T12:28:00Z</dcterms:created>
  <dcterms:modified xsi:type="dcterms:W3CDTF">2018-05-17T13:06:00Z</dcterms:modified>
</cp:coreProperties>
</file>